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5CA61" w14:textId="13250814" w:rsidR="00F00BF7" w:rsidRPr="00F00BF7" w:rsidRDefault="00450940" w:rsidP="00510DBF">
      <w:pPr>
        <w:pStyle w:val="Default"/>
        <w:spacing w:before="120"/>
        <w:jc w:val="center"/>
        <w:rPr>
          <w:rFonts w:asciiTheme="minorHAnsi" w:hAnsiTheme="minorHAnsi" w:cstheme="minorHAnsi"/>
          <w:iCs/>
          <w:sz w:val="22"/>
          <w:szCs w:val="22"/>
          <w:lang w:val="es-ES_tradnl"/>
        </w:rPr>
      </w:pPr>
      <w:r w:rsidRPr="00F00BF7">
        <w:rPr>
          <w:rFonts w:asciiTheme="minorHAnsi" w:hAnsiTheme="minorHAnsi" w:cstheme="minorHAnsi"/>
          <w:b/>
          <w:sz w:val="32"/>
          <w:szCs w:val="32"/>
          <w:lang w:val="es-ES_tradnl"/>
        </w:rPr>
        <w:t>ANEXO. -</w:t>
      </w:r>
      <w:r w:rsidR="00F00BF7" w:rsidRPr="00F00BF7">
        <w:rPr>
          <w:rFonts w:asciiTheme="minorHAnsi" w:hAnsiTheme="minorHAnsi" w:cstheme="minorHAnsi"/>
          <w:b/>
          <w:sz w:val="32"/>
          <w:szCs w:val="32"/>
          <w:lang w:val="es-ES_tradnl"/>
        </w:rPr>
        <w:t xml:space="preserve"> IMPRESO DE SOLICITUD</w:t>
      </w:r>
    </w:p>
    <w:p w14:paraId="3A92F006" w14:textId="77777777" w:rsidR="00510DBF" w:rsidRPr="00510DBF" w:rsidRDefault="00510DBF" w:rsidP="00510DBF">
      <w:pPr>
        <w:tabs>
          <w:tab w:val="left" w:pos="4830"/>
        </w:tabs>
        <w:jc w:val="both"/>
        <w:rPr>
          <w:sz w:val="12"/>
          <w:szCs w:val="12"/>
        </w:rPr>
      </w:pPr>
    </w:p>
    <w:tbl>
      <w:tblPr>
        <w:tblStyle w:val="Tablaconcuadrcula"/>
        <w:tblW w:w="9896" w:type="dxa"/>
        <w:tblLayout w:type="fixed"/>
        <w:tblLook w:val="04A0" w:firstRow="1" w:lastRow="0" w:firstColumn="1" w:lastColumn="0" w:noHBand="0" w:noVBand="1"/>
      </w:tblPr>
      <w:tblGrid>
        <w:gridCol w:w="3085"/>
        <w:gridCol w:w="2267"/>
        <w:gridCol w:w="1566"/>
        <w:gridCol w:w="2978"/>
      </w:tblGrid>
      <w:tr w:rsidR="00510DBF" w:rsidRPr="00510DBF" w14:paraId="7F0CE4A9" w14:textId="77777777" w:rsidTr="00387EA7">
        <w:trPr>
          <w:trHeight w:val="54"/>
        </w:trPr>
        <w:tc>
          <w:tcPr>
            <w:tcW w:w="989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0EDBA4" w14:textId="2AE62A9B" w:rsidR="00510DBF" w:rsidRPr="00510DBF" w:rsidRDefault="00510DBF" w:rsidP="00510DBF">
            <w:pPr>
              <w:tabs>
                <w:tab w:val="left" w:pos="2038"/>
              </w:tabs>
              <w:spacing w:before="60" w:after="60"/>
              <w:rPr>
                <w:b/>
                <w:sz w:val="22"/>
                <w:szCs w:val="22"/>
              </w:rPr>
            </w:pPr>
            <w:r w:rsidRPr="00510DBF">
              <w:rPr>
                <w:rStyle w:val="FormHeadingChar"/>
                <w:b/>
                <w:color w:val="auto"/>
                <w:sz w:val="22"/>
                <w:szCs w:val="22"/>
              </w:rPr>
              <w:t>DATOS PERSONALES IDENTIFICATIVO</w:t>
            </w:r>
            <w:r w:rsidR="00887557">
              <w:rPr>
                <w:rStyle w:val="FormHeadingChar"/>
                <w:b/>
                <w:color w:val="auto"/>
                <w:sz w:val="22"/>
                <w:szCs w:val="22"/>
              </w:rPr>
              <w:t>S</w:t>
            </w:r>
            <w:r w:rsidRPr="00510DBF">
              <w:rPr>
                <w:rStyle w:val="FormHeadingChar"/>
                <w:b/>
                <w:color w:val="auto"/>
                <w:sz w:val="22"/>
                <w:szCs w:val="22"/>
              </w:rPr>
              <w:t xml:space="preserve"> </w:t>
            </w:r>
            <w:r w:rsidRPr="00510DBF">
              <w:rPr>
                <w:rStyle w:val="FormHeadingChar"/>
                <w:i/>
                <w:color w:val="auto"/>
                <w:sz w:val="16"/>
                <w:szCs w:val="16"/>
              </w:rPr>
              <w:t>(a cumplimentar por el interesado)</w:t>
            </w:r>
          </w:p>
        </w:tc>
      </w:tr>
      <w:tr w:rsidR="00510DBF" w:rsidRPr="00510DBF" w14:paraId="71565148" w14:textId="77777777" w:rsidTr="00387EA7">
        <w:trPr>
          <w:trHeight w:val="54"/>
        </w:trPr>
        <w:tc>
          <w:tcPr>
            <w:tcW w:w="3085" w:type="dxa"/>
          </w:tcPr>
          <w:p w14:paraId="2CAD2F8A" w14:textId="740ED27F" w:rsidR="00510DBF" w:rsidRPr="00510DBF" w:rsidRDefault="00510DBF" w:rsidP="00510DBF">
            <w:pPr>
              <w:rPr>
                <w:b/>
                <w:sz w:val="22"/>
                <w:szCs w:val="22"/>
              </w:rPr>
            </w:pPr>
            <w:r w:rsidRPr="00510DBF">
              <w:rPr>
                <w:rStyle w:val="FormHeadingChar"/>
                <w:b/>
                <w:color w:val="auto"/>
                <w:sz w:val="22"/>
                <w:szCs w:val="22"/>
              </w:rPr>
              <w:t>N.I.F.</w:t>
            </w:r>
          </w:p>
        </w:tc>
        <w:tc>
          <w:tcPr>
            <w:tcW w:w="2267" w:type="dxa"/>
          </w:tcPr>
          <w:p w14:paraId="57F04299" w14:textId="2F0D479A" w:rsidR="00510DBF" w:rsidRPr="00510DBF" w:rsidRDefault="00510DBF" w:rsidP="00387EA7">
            <w:pPr>
              <w:tabs>
                <w:tab w:val="left" w:pos="0"/>
              </w:tabs>
              <w:spacing w:before="60" w:after="60"/>
              <w:rPr>
                <w:sz w:val="22"/>
                <w:szCs w:val="22"/>
              </w:rPr>
            </w:pPr>
          </w:p>
        </w:tc>
        <w:tc>
          <w:tcPr>
            <w:tcW w:w="1566" w:type="dxa"/>
          </w:tcPr>
          <w:p w14:paraId="3737BBF4" w14:textId="559FC0DD" w:rsidR="00510DBF" w:rsidRPr="00510DBF" w:rsidRDefault="00510DBF" w:rsidP="00510DBF">
            <w:pPr>
              <w:tabs>
                <w:tab w:val="left" w:pos="2070"/>
              </w:tabs>
              <w:spacing w:before="60" w:after="60"/>
              <w:jc w:val="right"/>
              <w:rPr>
                <w:b/>
                <w:sz w:val="22"/>
                <w:szCs w:val="22"/>
              </w:rPr>
            </w:pPr>
            <w:r>
              <w:rPr>
                <w:b/>
                <w:sz w:val="22"/>
                <w:szCs w:val="22"/>
              </w:rPr>
              <w:t>ÁREA:</w:t>
            </w:r>
          </w:p>
        </w:tc>
        <w:tc>
          <w:tcPr>
            <w:tcW w:w="2978" w:type="dxa"/>
          </w:tcPr>
          <w:p w14:paraId="0B059CA0" w14:textId="017A9D46" w:rsidR="00510DBF" w:rsidRPr="00510DBF" w:rsidRDefault="00510DBF" w:rsidP="00387EA7">
            <w:pPr>
              <w:tabs>
                <w:tab w:val="left" w:pos="35"/>
              </w:tabs>
              <w:spacing w:before="60" w:after="60"/>
              <w:jc w:val="both"/>
              <w:rPr>
                <w:sz w:val="22"/>
                <w:szCs w:val="22"/>
              </w:rPr>
            </w:pPr>
          </w:p>
        </w:tc>
      </w:tr>
      <w:tr w:rsidR="00510DBF" w:rsidRPr="00510DBF" w14:paraId="26B764F9" w14:textId="77777777" w:rsidTr="00387EA7">
        <w:trPr>
          <w:trHeight w:val="54"/>
        </w:trPr>
        <w:tc>
          <w:tcPr>
            <w:tcW w:w="3085" w:type="dxa"/>
          </w:tcPr>
          <w:p w14:paraId="177928FA" w14:textId="77AE48F8" w:rsidR="00510DBF" w:rsidRPr="00510DBF" w:rsidRDefault="00510DBF" w:rsidP="00510DBF">
            <w:pPr>
              <w:ind w:right="-108"/>
              <w:rPr>
                <w:b/>
                <w:sz w:val="22"/>
                <w:szCs w:val="22"/>
              </w:rPr>
            </w:pPr>
            <w:r w:rsidRPr="00510DBF">
              <w:rPr>
                <w:rStyle w:val="FormHeadingChar"/>
                <w:b/>
                <w:color w:val="auto"/>
                <w:sz w:val="22"/>
                <w:szCs w:val="22"/>
              </w:rPr>
              <w:t>Apellidos y nombre:</w:t>
            </w:r>
          </w:p>
        </w:tc>
        <w:tc>
          <w:tcPr>
            <w:tcW w:w="6811" w:type="dxa"/>
            <w:gridSpan w:val="3"/>
          </w:tcPr>
          <w:p w14:paraId="1E25AF00" w14:textId="531ABDCE" w:rsidR="00387EA7" w:rsidRPr="00510DBF" w:rsidRDefault="00510DBF" w:rsidP="00387EA7">
            <w:pPr>
              <w:tabs>
                <w:tab w:val="left" w:pos="34"/>
              </w:tabs>
              <w:spacing w:before="60" w:after="60"/>
              <w:rPr>
                <w:sz w:val="22"/>
                <w:szCs w:val="22"/>
              </w:rPr>
            </w:pPr>
            <w:r w:rsidRPr="00510DBF">
              <w:rPr>
                <w:sz w:val="22"/>
                <w:szCs w:val="22"/>
              </w:rPr>
              <w:tab/>
            </w:r>
          </w:p>
        </w:tc>
      </w:tr>
    </w:tbl>
    <w:p w14:paraId="28C0CFEE" w14:textId="77777777" w:rsidR="00510DBF" w:rsidRDefault="00510DBF" w:rsidP="00F00BF7">
      <w:pPr>
        <w:spacing w:before="120"/>
        <w:jc w:val="center"/>
        <w:rPr>
          <w:rFonts w:cstheme="minorHAnsi"/>
          <w:b/>
          <w:iCs/>
          <w:color w:val="000000"/>
          <w:sz w:val="32"/>
          <w:szCs w:val="32"/>
        </w:rPr>
      </w:pPr>
    </w:p>
    <w:p w14:paraId="12FA7CF4" w14:textId="77777777" w:rsidR="00F00BF7" w:rsidRPr="00F00BF7" w:rsidRDefault="00F00BF7" w:rsidP="00F00BF7">
      <w:pPr>
        <w:spacing w:before="120"/>
        <w:jc w:val="center"/>
        <w:rPr>
          <w:rFonts w:cstheme="minorHAnsi"/>
          <w:b/>
          <w:iCs/>
          <w:color w:val="000000"/>
          <w:sz w:val="32"/>
          <w:szCs w:val="32"/>
        </w:rPr>
      </w:pPr>
      <w:r w:rsidRPr="00F00BF7">
        <w:rPr>
          <w:rFonts w:cstheme="minorHAnsi"/>
          <w:b/>
          <w:iCs/>
          <w:color w:val="000000"/>
          <w:sz w:val="32"/>
          <w:szCs w:val="32"/>
        </w:rPr>
        <w:t>SOLICITA</w:t>
      </w:r>
    </w:p>
    <w:p w14:paraId="14E06F5F" w14:textId="39533C6C" w:rsidR="00510DBF" w:rsidRDefault="00510DBF" w:rsidP="00510DBF">
      <w:pPr>
        <w:widowControl w:val="0"/>
        <w:autoSpaceDE w:val="0"/>
        <w:autoSpaceDN w:val="0"/>
        <w:adjustRightInd w:val="0"/>
        <w:spacing w:before="120" w:after="240"/>
        <w:jc w:val="both"/>
        <w:rPr>
          <w:rFonts w:cstheme="minorHAnsi"/>
          <w:color w:val="000000"/>
          <w:sz w:val="22"/>
          <w:szCs w:val="22"/>
        </w:rPr>
      </w:pPr>
      <w:r w:rsidRPr="00F00BF7">
        <w:rPr>
          <w:rFonts w:cstheme="minorHAnsi"/>
          <w:color w:val="000000"/>
          <w:sz w:val="22"/>
          <w:szCs w:val="22"/>
        </w:rPr>
        <w:t>Le sea concedido, en concepto de PRÉSTAMO sin intereses, la cantidad de</w:t>
      </w:r>
      <w:r>
        <w:rPr>
          <w:rFonts w:cstheme="minorHAnsi"/>
          <w:color w:val="000000"/>
          <w:sz w:val="22"/>
          <w:szCs w:val="22"/>
        </w:rPr>
        <w:t>:</w:t>
      </w:r>
    </w:p>
    <w:tbl>
      <w:tblPr>
        <w:tblStyle w:val="Tablaconcuadrcula"/>
        <w:tblW w:w="9923" w:type="dxa"/>
        <w:tblLayout w:type="fixed"/>
        <w:tblLook w:val="04A0" w:firstRow="1" w:lastRow="0" w:firstColumn="1" w:lastColumn="0" w:noHBand="0" w:noVBand="1"/>
      </w:tblPr>
      <w:tblGrid>
        <w:gridCol w:w="1526"/>
        <w:gridCol w:w="2113"/>
        <w:gridCol w:w="472"/>
        <w:gridCol w:w="5812"/>
      </w:tblGrid>
      <w:tr w:rsidR="00510DBF" w:rsidRPr="00510DBF" w14:paraId="29C197DA" w14:textId="77777777" w:rsidTr="00887557">
        <w:trPr>
          <w:trHeight w:val="264"/>
        </w:trPr>
        <w:tc>
          <w:tcPr>
            <w:tcW w:w="1526" w:type="dxa"/>
            <w:tcBorders>
              <w:top w:val="nil"/>
              <w:left w:val="nil"/>
              <w:bottom w:val="nil"/>
            </w:tcBorders>
          </w:tcPr>
          <w:p w14:paraId="46BEA92B" w14:textId="2372F203" w:rsidR="00510DBF" w:rsidRPr="00510DBF" w:rsidRDefault="00510DBF" w:rsidP="00510DBF">
            <w:pPr>
              <w:jc w:val="right"/>
              <w:rPr>
                <w:sz w:val="22"/>
                <w:szCs w:val="22"/>
              </w:rPr>
            </w:pPr>
            <w:r w:rsidRPr="00510DBF">
              <w:rPr>
                <w:sz w:val="22"/>
                <w:szCs w:val="22"/>
              </w:rPr>
              <w:tab/>
            </w:r>
          </w:p>
        </w:tc>
        <w:tc>
          <w:tcPr>
            <w:tcW w:w="2113" w:type="dxa"/>
            <w:tcBorders>
              <w:top w:val="single" w:sz="4" w:space="0" w:color="auto"/>
              <w:bottom w:val="single" w:sz="4" w:space="0" w:color="auto"/>
            </w:tcBorders>
          </w:tcPr>
          <w:p w14:paraId="1B6CA11A" w14:textId="3354C59B" w:rsidR="00510DBF" w:rsidRPr="00510DBF" w:rsidRDefault="00510DBF" w:rsidP="00510DBF">
            <w:pPr>
              <w:tabs>
                <w:tab w:val="left" w:pos="775"/>
              </w:tabs>
              <w:spacing w:before="60" w:after="60"/>
              <w:jc w:val="right"/>
              <w:rPr>
                <w:sz w:val="22"/>
                <w:szCs w:val="22"/>
              </w:rPr>
            </w:pPr>
          </w:p>
        </w:tc>
        <w:tc>
          <w:tcPr>
            <w:tcW w:w="472" w:type="dxa"/>
            <w:tcBorders>
              <w:top w:val="nil"/>
              <w:bottom w:val="nil"/>
            </w:tcBorders>
          </w:tcPr>
          <w:p w14:paraId="316D2B0D" w14:textId="68298123" w:rsidR="00510DBF" w:rsidRPr="00510DBF" w:rsidRDefault="00510DBF" w:rsidP="00510DBF">
            <w:pPr>
              <w:spacing w:before="60" w:after="60"/>
              <w:jc w:val="right"/>
              <w:rPr>
                <w:sz w:val="22"/>
                <w:szCs w:val="22"/>
              </w:rPr>
            </w:pPr>
          </w:p>
        </w:tc>
        <w:tc>
          <w:tcPr>
            <w:tcW w:w="5812" w:type="dxa"/>
            <w:tcBorders>
              <w:top w:val="single" w:sz="4" w:space="0" w:color="auto"/>
              <w:bottom w:val="single" w:sz="4" w:space="0" w:color="auto"/>
              <w:right w:val="single" w:sz="4" w:space="0" w:color="auto"/>
            </w:tcBorders>
          </w:tcPr>
          <w:p w14:paraId="4E80441B" w14:textId="54099BB1" w:rsidR="00510DBF" w:rsidRPr="00510DBF" w:rsidRDefault="00510DBF" w:rsidP="00387EA7">
            <w:pPr>
              <w:spacing w:before="60" w:after="60"/>
              <w:rPr>
                <w:b/>
                <w:sz w:val="22"/>
                <w:szCs w:val="22"/>
              </w:rPr>
            </w:pPr>
          </w:p>
        </w:tc>
      </w:tr>
      <w:tr w:rsidR="00510DBF" w:rsidRPr="00510DBF" w14:paraId="079BAF2E" w14:textId="77777777" w:rsidTr="00887557">
        <w:trPr>
          <w:trHeight w:val="264"/>
        </w:trPr>
        <w:tc>
          <w:tcPr>
            <w:tcW w:w="1526" w:type="dxa"/>
            <w:tcBorders>
              <w:top w:val="nil"/>
              <w:left w:val="nil"/>
              <w:bottom w:val="nil"/>
              <w:right w:val="nil"/>
            </w:tcBorders>
          </w:tcPr>
          <w:p w14:paraId="1B328B91" w14:textId="77777777" w:rsidR="00510DBF" w:rsidRPr="00510DBF" w:rsidRDefault="00510DBF" w:rsidP="00510DBF">
            <w:pPr>
              <w:jc w:val="right"/>
              <w:rPr>
                <w:sz w:val="22"/>
                <w:szCs w:val="22"/>
              </w:rPr>
            </w:pPr>
          </w:p>
        </w:tc>
        <w:tc>
          <w:tcPr>
            <w:tcW w:w="2113" w:type="dxa"/>
            <w:tcBorders>
              <w:top w:val="single" w:sz="4" w:space="0" w:color="auto"/>
              <w:left w:val="nil"/>
              <w:bottom w:val="nil"/>
              <w:right w:val="nil"/>
            </w:tcBorders>
          </w:tcPr>
          <w:p w14:paraId="7D20F58A" w14:textId="3CB59942" w:rsidR="00510DBF" w:rsidRPr="00510DBF" w:rsidRDefault="00510DBF" w:rsidP="00510DBF">
            <w:pPr>
              <w:tabs>
                <w:tab w:val="left" w:pos="775"/>
              </w:tabs>
              <w:jc w:val="center"/>
              <w:rPr>
                <w:i/>
                <w:sz w:val="16"/>
                <w:szCs w:val="16"/>
              </w:rPr>
            </w:pPr>
            <w:r w:rsidRPr="00510DBF">
              <w:rPr>
                <w:i/>
                <w:sz w:val="16"/>
                <w:szCs w:val="16"/>
              </w:rPr>
              <w:t>en cifra</w:t>
            </w:r>
            <w:r>
              <w:rPr>
                <w:i/>
                <w:sz w:val="16"/>
                <w:szCs w:val="16"/>
              </w:rPr>
              <w:t xml:space="preserve"> (EUR)</w:t>
            </w:r>
          </w:p>
        </w:tc>
        <w:tc>
          <w:tcPr>
            <w:tcW w:w="472" w:type="dxa"/>
            <w:tcBorders>
              <w:top w:val="nil"/>
              <w:left w:val="nil"/>
              <w:bottom w:val="nil"/>
              <w:right w:val="nil"/>
            </w:tcBorders>
          </w:tcPr>
          <w:p w14:paraId="7478B45A" w14:textId="77777777" w:rsidR="00510DBF" w:rsidRPr="00510DBF" w:rsidRDefault="00510DBF" w:rsidP="00510DBF">
            <w:pPr>
              <w:jc w:val="right"/>
              <w:rPr>
                <w:sz w:val="16"/>
                <w:szCs w:val="16"/>
              </w:rPr>
            </w:pPr>
          </w:p>
        </w:tc>
        <w:tc>
          <w:tcPr>
            <w:tcW w:w="5812" w:type="dxa"/>
            <w:tcBorders>
              <w:top w:val="single" w:sz="4" w:space="0" w:color="auto"/>
              <w:left w:val="nil"/>
              <w:bottom w:val="nil"/>
              <w:right w:val="nil"/>
            </w:tcBorders>
          </w:tcPr>
          <w:p w14:paraId="579EF14B" w14:textId="1DC55896" w:rsidR="00510DBF" w:rsidRPr="00510DBF" w:rsidRDefault="00510DBF" w:rsidP="00510DBF">
            <w:pPr>
              <w:jc w:val="center"/>
              <w:rPr>
                <w:i/>
                <w:sz w:val="16"/>
                <w:szCs w:val="16"/>
              </w:rPr>
            </w:pPr>
            <w:r w:rsidRPr="00510DBF">
              <w:rPr>
                <w:i/>
                <w:sz w:val="16"/>
                <w:szCs w:val="16"/>
              </w:rPr>
              <w:t>en letra</w:t>
            </w:r>
            <w:r>
              <w:rPr>
                <w:i/>
                <w:sz w:val="16"/>
                <w:szCs w:val="16"/>
              </w:rPr>
              <w:t xml:space="preserve"> (EUR)</w:t>
            </w:r>
          </w:p>
        </w:tc>
      </w:tr>
    </w:tbl>
    <w:p w14:paraId="232FA41F" w14:textId="1FF2414C" w:rsidR="00F00BF7" w:rsidRPr="00F00BF7" w:rsidRDefault="00F00BF7" w:rsidP="00F00BF7">
      <w:pPr>
        <w:widowControl w:val="0"/>
        <w:autoSpaceDE w:val="0"/>
        <w:autoSpaceDN w:val="0"/>
        <w:adjustRightInd w:val="0"/>
        <w:spacing w:before="120"/>
        <w:jc w:val="both"/>
        <w:rPr>
          <w:rFonts w:cstheme="minorHAnsi"/>
          <w:color w:val="000000"/>
          <w:sz w:val="22"/>
          <w:szCs w:val="22"/>
        </w:rPr>
      </w:pPr>
      <w:r w:rsidRPr="00F00BF7">
        <w:rPr>
          <w:rFonts w:cstheme="minorHAnsi"/>
          <w:color w:val="000000"/>
          <w:sz w:val="22"/>
          <w:szCs w:val="22"/>
        </w:rPr>
        <w:t>conforme a lo establecido en el artículo 65.2 del vigente Convenio Colectivo del IAC, y el procedimiento para la gestión de préstamos al personal, los cuales declara conocer (al dorso).</w:t>
      </w:r>
    </w:p>
    <w:p w14:paraId="2CFED4F4" w14:textId="77777777" w:rsidR="00F00BF7" w:rsidRPr="00F00BF7" w:rsidRDefault="00F00BF7" w:rsidP="00F00BF7">
      <w:pPr>
        <w:widowControl w:val="0"/>
        <w:autoSpaceDE w:val="0"/>
        <w:autoSpaceDN w:val="0"/>
        <w:adjustRightInd w:val="0"/>
        <w:spacing w:before="120"/>
        <w:jc w:val="both"/>
        <w:rPr>
          <w:rFonts w:cstheme="minorHAnsi"/>
          <w:color w:val="000000"/>
          <w:sz w:val="22"/>
          <w:szCs w:val="22"/>
        </w:rPr>
      </w:pPr>
      <w:r w:rsidRPr="00F00BF7">
        <w:rPr>
          <w:rFonts w:cstheme="minorHAnsi"/>
          <w:color w:val="000000"/>
          <w:sz w:val="22"/>
          <w:szCs w:val="22"/>
        </w:rPr>
        <w:t>Asimismo, y en caso de que su solicitud sea resuelta favorablemente,</w:t>
      </w:r>
    </w:p>
    <w:p w14:paraId="473C5CCC" w14:textId="77777777" w:rsidR="00F00BF7" w:rsidRPr="00F00BF7" w:rsidRDefault="00F00BF7" w:rsidP="00F00BF7">
      <w:pPr>
        <w:widowControl w:val="0"/>
        <w:autoSpaceDE w:val="0"/>
        <w:autoSpaceDN w:val="0"/>
        <w:adjustRightInd w:val="0"/>
        <w:spacing w:before="120"/>
        <w:jc w:val="both"/>
        <w:rPr>
          <w:rFonts w:cstheme="minorHAnsi"/>
          <w:color w:val="000000"/>
          <w:sz w:val="22"/>
          <w:szCs w:val="22"/>
        </w:rPr>
      </w:pPr>
    </w:p>
    <w:p w14:paraId="71C0D4E0" w14:textId="77777777" w:rsidR="00F00BF7" w:rsidRPr="00F00BF7" w:rsidRDefault="00F00BF7" w:rsidP="00F00BF7">
      <w:pPr>
        <w:widowControl w:val="0"/>
        <w:autoSpaceDE w:val="0"/>
        <w:autoSpaceDN w:val="0"/>
        <w:adjustRightInd w:val="0"/>
        <w:spacing w:before="120"/>
        <w:jc w:val="center"/>
        <w:rPr>
          <w:rFonts w:cstheme="minorHAnsi"/>
          <w:color w:val="000000"/>
          <w:sz w:val="32"/>
          <w:szCs w:val="32"/>
        </w:rPr>
      </w:pPr>
      <w:r w:rsidRPr="00F00BF7">
        <w:rPr>
          <w:rFonts w:cstheme="minorHAnsi"/>
          <w:b/>
          <w:bCs/>
          <w:color w:val="000000"/>
          <w:sz w:val="32"/>
          <w:szCs w:val="32"/>
        </w:rPr>
        <w:t>AUTORIZA</w:t>
      </w:r>
    </w:p>
    <w:p w14:paraId="0DB37C41" w14:textId="77777777" w:rsidR="00F00BF7" w:rsidRPr="00F00BF7" w:rsidRDefault="00F00BF7" w:rsidP="00F00BF7">
      <w:pPr>
        <w:widowControl w:val="0"/>
        <w:autoSpaceDE w:val="0"/>
        <w:autoSpaceDN w:val="0"/>
        <w:adjustRightInd w:val="0"/>
        <w:spacing w:before="120"/>
        <w:jc w:val="both"/>
        <w:rPr>
          <w:rFonts w:cstheme="minorHAnsi"/>
          <w:color w:val="000000"/>
          <w:sz w:val="22"/>
          <w:szCs w:val="22"/>
        </w:rPr>
      </w:pPr>
    </w:p>
    <w:p w14:paraId="39B28C3A" w14:textId="77777777" w:rsidR="00F00BF7" w:rsidRPr="00F00BF7" w:rsidRDefault="00F00BF7" w:rsidP="00F00BF7">
      <w:pPr>
        <w:widowControl w:val="0"/>
        <w:autoSpaceDE w:val="0"/>
        <w:autoSpaceDN w:val="0"/>
        <w:adjustRightInd w:val="0"/>
        <w:spacing w:before="120"/>
        <w:jc w:val="both"/>
        <w:rPr>
          <w:rFonts w:cstheme="minorHAnsi"/>
          <w:color w:val="000000"/>
          <w:sz w:val="22"/>
          <w:szCs w:val="22"/>
        </w:rPr>
      </w:pPr>
      <w:r w:rsidRPr="00F00BF7">
        <w:rPr>
          <w:rFonts w:cstheme="minorHAnsi"/>
          <w:color w:val="000000"/>
          <w:sz w:val="22"/>
          <w:szCs w:val="22"/>
        </w:rPr>
        <w:t xml:space="preserve">Al IAC a retener, mensualmente, del líquido de la nómina a cobrar, el importe de devolución mensual que corresponda por el préstamo recibido, hasta su total liquidación. </w:t>
      </w:r>
    </w:p>
    <w:p w14:paraId="11BA52E8" w14:textId="77777777" w:rsidR="00F00BF7" w:rsidRPr="00F00BF7" w:rsidRDefault="00F00BF7" w:rsidP="00F00BF7">
      <w:pPr>
        <w:widowControl w:val="0"/>
        <w:autoSpaceDE w:val="0"/>
        <w:autoSpaceDN w:val="0"/>
        <w:adjustRightInd w:val="0"/>
        <w:spacing w:before="120"/>
        <w:jc w:val="both"/>
        <w:rPr>
          <w:rFonts w:cstheme="minorHAnsi"/>
          <w:color w:val="000000"/>
          <w:sz w:val="22"/>
          <w:szCs w:val="22"/>
        </w:rPr>
      </w:pPr>
      <w:r w:rsidRPr="00F00BF7">
        <w:rPr>
          <w:rFonts w:cstheme="minorHAnsi"/>
          <w:color w:val="000000"/>
          <w:sz w:val="22"/>
          <w:szCs w:val="22"/>
        </w:rPr>
        <w:t>A proceder a la correspondiente retención por el IRPF en concepto de retribución en especie, y a la correspondiente retención a cuenta.</w:t>
      </w:r>
    </w:p>
    <w:p w14:paraId="340B4CD9" w14:textId="77777777" w:rsidR="00F00BF7" w:rsidRPr="00F00BF7" w:rsidRDefault="00F00BF7" w:rsidP="00F00BF7">
      <w:pPr>
        <w:widowControl w:val="0"/>
        <w:autoSpaceDE w:val="0"/>
        <w:autoSpaceDN w:val="0"/>
        <w:adjustRightInd w:val="0"/>
        <w:spacing w:before="120"/>
        <w:jc w:val="both"/>
        <w:rPr>
          <w:rFonts w:cstheme="minorHAnsi"/>
          <w:sz w:val="22"/>
          <w:szCs w:val="22"/>
        </w:rPr>
      </w:pPr>
      <w:r w:rsidRPr="00F00BF7">
        <w:rPr>
          <w:rFonts w:cstheme="minorHAnsi"/>
          <w:color w:val="000000"/>
          <w:sz w:val="22"/>
          <w:szCs w:val="22"/>
        </w:rPr>
        <w:t xml:space="preserve">En el caso de resolución y extinción del contrato de trabajo en el IAC, por alguna de las circunstancias previstas en la legislación vigente, la cantidad pendiente del total del préstamo se liquidará en la última nómina. Y </w:t>
      </w:r>
      <w:r w:rsidRPr="00F00BF7">
        <w:rPr>
          <w:rFonts w:cstheme="minorHAnsi"/>
          <w:sz w:val="22"/>
          <w:szCs w:val="22"/>
        </w:rPr>
        <w:t>si esta nómina no fuera suficiente, el trabajador queda obligado a liquidar el saldo pendiente en un pago único, en efectivo o mediante talón nominativo al IAC, antes de la finalización del mes de su última nómina.</w:t>
      </w:r>
    </w:p>
    <w:p w14:paraId="308FEE02" w14:textId="77777777" w:rsidR="00F00BF7" w:rsidRPr="00F00BF7" w:rsidRDefault="00F00BF7" w:rsidP="00F00BF7">
      <w:pPr>
        <w:jc w:val="both"/>
        <w:rPr>
          <w:rFonts w:cstheme="minorHAnsi"/>
          <w:sz w:val="22"/>
          <w:szCs w:val="22"/>
        </w:rPr>
      </w:pPr>
    </w:p>
    <w:p w14:paraId="1CAAA004" w14:textId="77777777" w:rsidR="00F00BF7" w:rsidRPr="00F00BF7" w:rsidRDefault="00F00BF7" w:rsidP="00F00BF7">
      <w:pPr>
        <w:jc w:val="center"/>
        <w:rPr>
          <w:rFonts w:cstheme="minorHAnsi"/>
          <w:sz w:val="22"/>
          <w:szCs w:val="22"/>
        </w:rPr>
      </w:pPr>
      <w:r w:rsidRPr="00F00BF7">
        <w:rPr>
          <w:rFonts w:cstheme="minorHAnsi"/>
          <w:sz w:val="22"/>
          <w:szCs w:val="22"/>
        </w:rPr>
        <w:t>San Cristóbal de La Laguna</w:t>
      </w:r>
    </w:p>
    <w:p w14:paraId="58C97266" w14:textId="77777777" w:rsidR="00F00BF7" w:rsidRPr="00F00BF7" w:rsidRDefault="00F00BF7" w:rsidP="00F00BF7">
      <w:pPr>
        <w:jc w:val="center"/>
        <w:rPr>
          <w:rFonts w:cstheme="minorHAnsi"/>
          <w:sz w:val="22"/>
          <w:szCs w:val="22"/>
        </w:rPr>
      </w:pPr>
      <w:r w:rsidRPr="00F00BF7">
        <w:rPr>
          <w:rFonts w:cstheme="minorHAnsi"/>
          <w:sz w:val="22"/>
          <w:szCs w:val="22"/>
        </w:rPr>
        <w:t>Firmado electrónicamente en la fecha que se indica</w:t>
      </w:r>
    </w:p>
    <w:p w14:paraId="43368EB1" w14:textId="77777777" w:rsidR="00F00BF7" w:rsidRPr="00F00BF7" w:rsidRDefault="00F00BF7" w:rsidP="00F00BF7">
      <w:pPr>
        <w:jc w:val="both"/>
        <w:rPr>
          <w:rFonts w:cstheme="minorHAnsi"/>
          <w:sz w:val="22"/>
          <w:szCs w:val="22"/>
        </w:rPr>
      </w:pPr>
    </w:p>
    <w:p w14:paraId="1F0CFBC3" w14:textId="77777777" w:rsidR="00F00BF7" w:rsidRPr="00F00BF7" w:rsidRDefault="00F00BF7" w:rsidP="00F00BF7">
      <w:pPr>
        <w:jc w:val="both"/>
        <w:rPr>
          <w:rFonts w:cstheme="minorHAnsi"/>
          <w:sz w:val="22"/>
          <w:szCs w:val="22"/>
        </w:rPr>
      </w:pPr>
    </w:p>
    <w:p w14:paraId="50232B0D" w14:textId="77777777" w:rsidR="00F00BF7" w:rsidRPr="00F00BF7" w:rsidRDefault="00F00BF7" w:rsidP="00F00BF7">
      <w:pPr>
        <w:jc w:val="both"/>
        <w:rPr>
          <w:rFonts w:cstheme="minorHAnsi"/>
          <w:sz w:val="22"/>
          <w:szCs w:val="22"/>
        </w:rPr>
      </w:pPr>
    </w:p>
    <w:p w14:paraId="18C1A983" w14:textId="77777777" w:rsidR="00F00BF7" w:rsidRPr="00F00BF7" w:rsidRDefault="00F00BF7" w:rsidP="00F00BF7">
      <w:pPr>
        <w:jc w:val="both"/>
        <w:rPr>
          <w:rFonts w:cstheme="minorHAnsi"/>
          <w:sz w:val="22"/>
          <w:szCs w:val="22"/>
        </w:rPr>
      </w:pPr>
    </w:p>
    <w:p w14:paraId="5890D6D6" w14:textId="77777777" w:rsidR="00F00BF7" w:rsidRPr="00F00BF7" w:rsidRDefault="00F00BF7" w:rsidP="00F00BF7">
      <w:pPr>
        <w:jc w:val="both"/>
        <w:rPr>
          <w:rFonts w:cstheme="minorHAnsi"/>
          <w:sz w:val="22"/>
          <w:szCs w:val="22"/>
        </w:rPr>
      </w:pPr>
    </w:p>
    <w:p w14:paraId="478EBE30" w14:textId="660B0856" w:rsidR="00F00BF7" w:rsidRDefault="00F00BF7" w:rsidP="00F00BF7">
      <w:pPr>
        <w:jc w:val="both"/>
        <w:rPr>
          <w:rFonts w:cstheme="minorHAnsi"/>
          <w:sz w:val="22"/>
          <w:szCs w:val="22"/>
        </w:rPr>
      </w:pPr>
    </w:p>
    <w:p w14:paraId="504BBACF" w14:textId="044A82CD" w:rsidR="00B90C99" w:rsidRDefault="00B90C99" w:rsidP="00F00BF7">
      <w:pPr>
        <w:jc w:val="both"/>
        <w:rPr>
          <w:rFonts w:cstheme="minorHAnsi"/>
          <w:sz w:val="22"/>
          <w:szCs w:val="22"/>
        </w:rPr>
      </w:pPr>
    </w:p>
    <w:p w14:paraId="39889FA8" w14:textId="4961B7D0" w:rsidR="00B90C99" w:rsidRDefault="00B90C99" w:rsidP="00F00BF7">
      <w:pPr>
        <w:jc w:val="both"/>
        <w:rPr>
          <w:rFonts w:cstheme="minorHAnsi"/>
          <w:sz w:val="22"/>
          <w:szCs w:val="22"/>
        </w:rPr>
      </w:pPr>
    </w:p>
    <w:p w14:paraId="44D580DA" w14:textId="4DBD0050" w:rsidR="00B90C99" w:rsidRDefault="00B90C99" w:rsidP="00F00BF7">
      <w:pPr>
        <w:jc w:val="both"/>
        <w:rPr>
          <w:rFonts w:cstheme="minorHAnsi"/>
          <w:sz w:val="22"/>
          <w:szCs w:val="22"/>
        </w:rPr>
      </w:pPr>
    </w:p>
    <w:p w14:paraId="66C1E416" w14:textId="375816D4" w:rsidR="00B90C99" w:rsidRDefault="00B90C99" w:rsidP="00F00BF7">
      <w:pPr>
        <w:jc w:val="both"/>
        <w:rPr>
          <w:rFonts w:cstheme="minorHAnsi"/>
          <w:sz w:val="22"/>
          <w:szCs w:val="22"/>
        </w:rPr>
      </w:pPr>
    </w:p>
    <w:p w14:paraId="4970A000" w14:textId="77777777" w:rsidR="00B90C99" w:rsidRDefault="00B90C99" w:rsidP="00F00BF7">
      <w:pPr>
        <w:jc w:val="both"/>
        <w:rPr>
          <w:rFonts w:cstheme="minorHAnsi"/>
          <w:sz w:val="22"/>
          <w:szCs w:val="22"/>
        </w:rPr>
      </w:pPr>
    </w:p>
    <w:p w14:paraId="51A647FE" w14:textId="77777777" w:rsidR="00F5748B" w:rsidRPr="00F00BF7" w:rsidRDefault="00F5748B" w:rsidP="00F00BF7">
      <w:pPr>
        <w:jc w:val="both"/>
        <w:rPr>
          <w:rFonts w:cstheme="minorHAnsi"/>
          <w:sz w:val="22"/>
          <w:szCs w:val="22"/>
        </w:rPr>
      </w:pPr>
    </w:p>
    <w:p w14:paraId="4A23073C" w14:textId="77777777" w:rsidR="00F00BF7" w:rsidRPr="00F00BF7" w:rsidRDefault="00F00BF7" w:rsidP="00F00BF7">
      <w:pPr>
        <w:pBdr>
          <w:top w:val="single" w:sz="4" w:space="1" w:color="auto"/>
        </w:pBdr>
        <w:jc w:val="both"/>
        <w:rPr>
          <w:rFonts w:cstheme="minorHAnsi"/>
          <w:b/>
          <w:sz w:val="22"/>
          <w:szCs w:val="22"/>
        </w:rPr>
      </w:pPr>
      <w:r w:rsidRPr="00F00BF7">
        <w:rPr>
          <w:rFonts w:cstheme="minorHAnsi"/>
          <w:b/>
          <w:sz w:val="22"/>
          <w:szCs w:val="22"/>
        </w:rPr>
        <w:t>DIRECTOR DEL INSTITUTO DE ASTROFÍSICA</w:t>
      </w:r>
    </w:p>
    <w:p w14:paraId="3CD973CC" w14:textId="77777777" w:rsidR="00F00BF7" w:rsidRPr="009D1CD4" w:rsidRDefault="00F00BF7" w:rsidP="00F00BF7">
      <w:pPr>
        <w:jc w:val="center"/>
        <w:rPr>
          <w:b/>
          <w:sz w:val="15"/>
          <w:szCs w:val="15"/>
        </w:rPr>
      </w:pPr>
      <w:r>
        <w:rPr>
          <w:b/>
          <w:sz w:val="22"/>
          <w:szCs w:val="22"/>
        </w:rPr>
        <w:br w:type="page"/>
      </w:r>
      <w:r w:rsidRPr="009D1CD4">
        <w:rPr>
          <w:b/>
          <w:sz w:val="15"/>
          <w:szCs w:val="15"/>
        </w:rPr>
        <w:lastRenderedPageBreak/>
        <w:t>PROCEDIMIENTO PARA LA GESTIÓN DE PRÉSTAMOS AL PERSONAL</w:t>
      </w:r>
    </w:p>
    <w:p w14:paraId="7D3C1B45" w14:textId="3EAEBD3A" w:rsidR="00F00BF7" w:rsidRDefault="00F00BF7" w:rsidP="00F00BF7">
      <w:pPr>
        <w:pStyle w:val="Default"/>
        <w:pBdr>
          <w:bottom w:val="single" w:sz="4" w:space="1" w:color="auto"/>
        </w:pBdr>
        <w:jc w:val="center"/>
        <w:rPr>
          <w:color w:val="auto"/>
          <w:sz w:val="15"/>
          <w:szCs w:val="15"/>
          <w:lang w:val="es-ES_tradnl"/>
        </w:rPr>
      </w:pPr>
      <w:r w:rsidRPr="0018675B">
        <w:rPr>
          <w:color w:val="auto"/>
          <w:sz w:val="15"/>
          <w:szCs w:val="15"/>
          <w:lang w:val="es-ES_tradnl"/>
        </w:rPr>
        <w:t xml:space="preserve">(CD </w:t>
      </w:r>
      <w:r w:rsidR="00781037">
        <w:rPr>
          <w:color w:val="auto"/>
          <w:sz w:val="15"/>
          <w:szCs w:val="15"/>
          <w:lang w:val="es-ES_tradnl"/>
        </w:rPr>
        <w:t>06</w:t>
      </w:r>
      <w:r w:rsidRPr="0018675B">
        <w:rPr>
          <w:color w:val="auto"/>
          <w:sz w:val="15"/>
          <w:szCs w:val="15"/>
          <w:lang w:val="es-ES_tradnl"/>
        </w:rPr>
        <w:t>/</w:t>
      </w:r>
      <w:r w:rsidR="007C1CBC">
        <w:rPr>
          <w:color w:val="auto"/>
          <w:sz w:val="15"/>
          <w:szCs w:val="15"/>
          <w:lang w:val="es-ES_tradnl"/>
        </w:rPr>
        <w:t>20</w:t>
      </w:r>
      <w:r w:rsidRPr="0018675B">
        <w:rPr>
          <w:color w:val="auto"/>
          <w:sz w:val="15"/>
          <w:szCs w:val="15"/>
          <w:lang w:val="es-ES_tradnl"/>
        </w:rPr>
        <w:t xml:space="preserve">, de </w:t>
      </w:r>
      <w:r w:rsidR="00781037">
        <w:rPr>
          <w:color w:val="auto"/>
          <w:sz w:val="15"/>
          <w:szCs w:val="15"/>
          <w:lang w:val="es-ES_tradnl"/>
        </w:rPr>
        <w:t>19</w:t>
      </w:r>
      <w:r w:rsidR="007C1CBC" w:rsidRPr="0018675B">
        <w:rPr>
          <w:color w:val="auto"/>
          <w:sz w:val="15"/>
          <w:szCs w:val="15"/>
          <w:lang w:val="es-ES_tradnl"/>
        </w:rPr>
        <w:t xml:space="preserve"> </w:t>
      </w:r>
      <w:r w:rsidR="0018675B" w:rsidRPr="0018675B">
        <w:rPr>
          <w:color w:val="auto"/>
          <w:sz w:val="15"/>
          <w:szCs w:val="15"/>
          <w:lang w:val="es-ES_tradnl"/>
        </w:rPr>
        <w:t xml:space="preserve">de </w:t>
      </w:r>
      <w:r w:rsidR="007C1CBC">
        <w:rPr>
          <w:color w:val="auto"/>
          <w:sz w:val="15"/>
          <w:szCs w:val="15"/>
          <w:lang w:val="es-ES_tradnl"/>
        </w:rPr>
        <w:t>Febrero</w:t>
      </w:r>
      <w:r w:rsidR="007C1CBC" w:rsidRPr="0018675B">
        <w:rPr>
          <w:color w:val="auto"/>
          <w:sz w:val="15"/>
          <w:szCs w:val="15"/>
          <w:lang w:val="es-ES_tradnl"/>
        </w:rPr>
        <w:t xml:space="preserve"> </w:t>
      </w:r>
      <w:r w:rsidR="0018675B" w:rsidRPr="0018675B">
        <w:rPr>
          <w:color w:val="auto"/>
          <w:sz w:val="15"/>
          <w:szCs w:val="15"/>
          <w:lang w:val="es-ES_tradnl"/>
        </w:rPr>
        <w:t>de 20</w:t>
      </w:r>
      <w:r w:rsidR="007C1CBC">
        <w:rPr>
          <w:color w:val="auto"/>
          <w:sz w:val="15"/>
          <w:szCs w:val="15"/>
          <w:lang w:val="es-ES_tradnl"/>
        </w:rPr>
        <w:t>20</w:t>
      </w:r>
      <w:r w:rsidRPr="0018675B">
        <w:rPr>
          <w:color w:val="auto"/>
          <w:sz w:val="15"/>
          <w:szCs w:val="15"/>
          <w:lang w:val="es-ES_tradnl"/>
        </w:rPr>
        <w:t>. Vigencia: A partir del 1 de enero de 20</w:t>
      </w:r>
      <w:r w:rsidR="007C1CBC">
        <w:rPr>
          <w:color w:val="auto"/>
          <w:sz w:val="15"/>
          <w:szCs w:val="15"/>
          <w:lang w:val="es-ES_tradnl"/>
        </w:rPr>
        <w:t>20</w:t>
      </w:r>
      <w:r w:rsidRPr="0018675B">
        <w:rPr>
          <w:color w:val="auto"/>
          <w:sz w:val="15"/>
          <w:szCs w:val="15"/>
          <w:lang w:val="es-ES_tradnl"/>
        </w:rPr>
        <w:t>)</w:t>
      </w:r>
    </w:p>
    <w:p w14:paraId="509E2539" w14:textId="5E385ACD" w:rsidR="00887557" w:rsidRPr="0018675B" w:rsidRDefault="00887557" w:rsidP="00887557">
      <w:pPr>
        <w:pStyle w:val="Default"/>
        <w:pBdr>
          <w:bottom w:val="single" w:sz="4" w:space="1" w:color="auto"/>
        </w:pBdr>
        <w:jc w:val="center"/>
        <w:rPr>
          <w:color w:val="auto"/>
          <w:sz w:val="15"/>
          <w:szCs w:val="15"/>
          <w:lang w:val="es-ES_tradnl"/>
        </w:rPr>
      </w:pPr>
      <w:r>
        <w:rPr>
          <w:color w:val="auto"/>
          <w:sz w:val="15"/>
          <w:szCs w:val="15"/>
          <w:lang w:val="es-ES_tradnl"/>
        </w:rPr>
        <w:t>(Modificación CD14/25 de 6 de mayo de 2025)</w:t>
      </w:r>
    </w:p>
    <w:p w14:paraId="05EF0ED2" w14:textId="77777777" w:rsidR="00F00BF7" w:rsidRPr="009D1CD4" w:rsidRDefault="00F00BF7" w:rsidP="00F00BF7">
      <w:pPr>
        <w:pStyle w:val="Default"/>
        <w:rPr>
          <w:b/>
          <w:bCs/>
          <w:sz w:val="15"/>
          <w:szCs w:val="15"/>
          <w:lang w:val="es-ES_tradnl"/>
        </w:rPr>
      </w:pPr>
    </w:p>
    <w:p w14:paraId="3F183F5E" w14:textId="77777777" w:rsidR="00F00BF7" w:rsidRPr="009D1CD4" w:rsidRDefault="00F00BF7" w:rsidP="00F00BF7">
      <w:pPr>
        <w:pStyle w:val="Default"/>
        <w:rPr>
          <w:b/>
          <w:bCs/>
          <w:sz w:val="15"/>
          <w:szCs w:val="15"/>
          <w:lang w:val="es-ES_tradnl"/>
        </w:rPr>
      </w:pPr>
      <w:r w:rsidRPr="009D1CD4">
        <w:rPr>
          <w:b/>
          <w:bCs/>
          <w:sz w:val="15"/>
          <w:szCs w:val="15"/>
          <w:lang w:val="es-ES_tradnl"/>
        </w:rPr>
        <w:t xml:space="preserve">1. OBJETO Y FUNDAMENTOS: </w:t>
      </w:r>
    </w:p>
    <w:p w14:paraId="2043D204" w14:textId="77777777" w:rsidR="00F00BF7" w:rsidRPr="009D1CD4" w:rsidRDefault="00F00BF7" w:rsidP="00F00BF7">
      <w:pPr>
        <w:pStyle w:val="Default"/>
        <w:jc w:val="both"/>
        <w:rPr>
          <w:sz w:val="15"/>
          <w:szCs w:val="15"/>
          <w:lang w:val="es-ES_tradnl"/>
        </w:rPr>
      </w:pPr>
      <w:r w:rsidRPr="009D1CD4">
        <w:rPr>
          <w:sz w:val="15"/>
          <w:szCs w:val="15"/>
          <w:lang w:val="es-ES_tradnl"/>
        </w:rPr>
        <w:t>El presente procedimiento tiene por objeto definir el sistema de actuación establecido por el INSTITUTO DE ASTROFÍSICA DE CANARIAS (IAC), para la gestión de préstamos sin intereses al personal del centro.</w:t>
      </w:r>
    </w:p>
    <w:p w14:paraId="64DCA743" w14:textId="77777777" w:rsidR="00F00BF7" w:rsidRPr="009D1CD4" w:rsidRDefault="00F00BF7" w:rsidP="00F00BF7">
      <w:pPr>
        <w:pStyle w:val="Default"/>
        <w:jc w:val="both"/>
        <w:rPr>
          <w:sz w:val="15"/>
          <w:szCs w:val="15"/>
          <w:lang w:val="es-ES_tradnl"/>
        </w:rPr>
      </w:pPr>
      <w:r w:rsidRPr="009D1CD4">
        <w:rPr>
          <w:sz w:val="15"/>
          <w:szCs w:val="15"/>
          <w:lang w:val="es-ES_tradnl"/>
        </w:rPr>
        <w:t>Se podrá acoger todo el personal funcionario y laboral incluidos en la nómina del IAC.</w:t>
      </w:r>
    </w:p>
    <w:p w14:paraId="00099DF2" w14:textId="77777777" w:rsidR="00F00BF7" w:rsidRPr="00F00BF7" w:rsidRDefault="00F00BF7" w:rsidP="00F00BF7">
      <w:pPr>
        <w:pStyle w:val="Default"/>
        <w:jc w:val="both"/>
        <w:rPr>
          <w:color w:val="auto"/>
          <w:sz w:val="15"/>
          <w:szCs w:val="15"/>
          <w:lang w:val="es-ES_tradnl"/>
        </w:rPr>
      </w:pPr>
      <w:r w:rsidRPr="009D1CD4">
        <w:rPr>
          <w:sz w:val="15"/>
          <w:szCs w:val="15"/>
          <w:lang w:val="es-ES_tradnl"/>
        </w:rPr>
        <w:t xml:space="preserve">El personal laboral fijo tiene que haber superado el correspondiente período de prueba y el personal laboral temporal haber cumplido al menos un año de permanencia en el IAC, de </w:t>
      </w:r>
      <w:r w:rsidRPr="00F00BF7">
        <w:rPr>
          <w:color w:val="auto"/>
          <w:sz w:val="15"/>
          <w:szCs w:val="15"/>
          <w:lang w:val="es-ES_tradnl"/>
        </w:rPr>
        <w:t xml:space="preserve">acuerdo al artículo 61.2 del Convenio Colectivo del IAC. </w:t>
      </w:r>
    </w:p>
    <w:p w14:paraId="0BFCEFE9" w14:textId="77777777" w:rsidR="00F00BF7" w:rsidRPr="009D1CD4" w:rsidRDefault="00F00BF7" w:rsidP="00F00BF7">
      <w:pPr>
        <w:pStyle w:val="Default"/>
        <w:jc w:val="both"/>
        <w:rPr>
          <w:sz w:val="15"/>
          <w:szCs w:val="15"/>
          <w:lang w:val="es-ES_tradnl"/>
        </w:rPr>
      </w:pPr>
      <w:r w:rsidRPr="00F00BF7">
        <w:rPr>
          <w:color w:val="auto"/>
          <w:sz w:val="15"/>
          <w:szCs w:val="15"/>
          <w:lang w:val="es-ES_tradnl"/>
        </w:rPr>
        <w:t xml:space="preserve">El IAC debe ingresar a cuenta por las retribuciones en especie que se derivan de la concesión de préstamos sin interés a su personal. Conforme a lo previsto en el artículo 17 la Ley 35/2006, </w:t>
      </w:r>
      <w:r w:rsidRPr="009D1CD4">
        <w:rPr>
          <w:sz w:val="15"/>
          <w:szCs w:val="15"/>
          <w:lang w:val="es-ES_tradnl"/>
        </w:rPr>
        <w:t>de 28 de noviembre, del Impuesto sobre la Renta de las Personas Físicas, estos ingresos tienen la consideración de rendimientos íntegros del trabajo en especie.</w:t>
      </w:r>
    </w:p>
    <w:p w14:paraId="018C6A75" w14:textId="77777777" w:rsidR="00F00BF7" w:rsidRPr="009D1CD4" w:rsidRDefault="00F00BF7" w:rsidP="00F00BF7">
      <w:pPr>
        <w:pStyle w:val="Default"/>
        <w:spacing w:before="60"/>
        <w:jc w:val="both"/>
        <w:rPr>
          <w:b/>
          <w:sz w:val="15"/>
          <w:szCs w:val="15"/>
          <w:lang w:val="es-ES_tradnl"/>
        </w:rPr>
      </w:pPr>
      <w:r w:rsidRPr="009D1CD4">
        <w:rPr>
          <w:b/>
          <w:sz w:val="15"/>
          <w:szCs w:val="15"/>
          <w:lang w:val="es-ES_tradnl"/>
        </w:rPr>
        <w:t>2. RESPONSABILIDADES:</w:t>
      </w:r>
    </w:p>
    <w:p w14:paraId="02DCBD1A" w14:textId="77777777" w:rsidR="00F00BF7" w:rsidRPr="009D1CD4" w:rsidRDefault="00F00BF7" w:rsidP="00F00BF7">
      <w:pPr>
        <w:pStyle w:val="Default"/>
        <w:numPr>
          <w:ilvl w:val="0"/>
          <w:numId w:val="8"/>
        </w:numPr>
        <w:ind w:left="567"/>
        <w:jc w:val="both"/>
        <w:rPr>
          <w:sz w:val="15"/>
          <w:szCs w:val="15"/>
          <w:lang w:val="es-ES_tradnl"/>
        </w:rPr>
      </w:pPr>
      <w:r w:rsidRPr="009D1CD4">
        <w:rPr>
          <w:b/>
          <w:bCs/>
          <w:sz w:val="15"/>
          <w:szCs w:val="15"/>
          <w:lang w:val="es-ES_tradnl"/>
        </w:rPr>
        <w:t xml:space="preserve">Director: </w:t>
      </w:r>
      <w:r w:rsidRPr="009D1CD4">
        <w:rPr>
          <w:sz w:val="15"/>
          <w:szCs w:val="15"/>
          <w:lang w:val="es-ES_tradnl"/>
        </w:rPr>
        <w:t xml:space="preserve">Dictar las resoluciones respectivas sobre cada una de las solicitudes. </w:t>
      </w:r>
    </w:p>
    <w:p w14:paraId="694F5160" w14:textId="77777777" w:rsidR="00F00BF7" w:rsidRPr="009D1CD4" w:rsidRDefault="00F00BF7" w:rsidP="00F00BF7">
      <w:pPr>
        <w:pStyle w:val="Default"/>
        <w:numPr>
          <w:ilvl w:val="0"/>
          <w:numId w:val="8"/>
        </w:numPr>
        <w:ind w:left="567"/>
        <w:jc w:val="both"/>
        <w:rPr>
          <w:sz w:val="15"/>
          <w:szCs w:val="15"/>
          <w:lang w:val="es-ES_tradnl"/>
        </w:rPr>
      </w:pPr>
      <w:r w:rsidRPr="009D1CD4">
        <w:rPr>
          <w:b/>
          <w:sz w:val="15"/>
          <w:szCs w:val="15"/>
          <w:lang w:val="es-ES_tradnl"/>
        </w:rPr>
        <w:t xml:space="preserve">Responsable de Gestión Económica y Presupuestaria: </w:t>
      </w:r>
      <w:r w:rsidRPr="009D1CD4">
        <w:rPr>
          <w:sz w:val="15"/>
          <w:szCs w:val="15"/>
          <w:lang w:val="es-ES_tradnl"/>
        </w:rPr>
        <w:t>Informar sobre la apertura del periodo de solicitudes de préstamo. Responsable del funcionamiento y seguimiento del proceso.</w:t>
      </w:r>
    </w:p>
    <w:p w14:paraId="22F1B53C" w14:textId="77777777" w:rsidR="00F00BF7" w:rsidRPr="009D1CD4" w:rsidRDefault="00F00BF7" w:rsidP="00F00BF7">
      <w:pPr>
        <w:pStyle w:val="Default"/>
        <w:numPr>
          <w:ilvl w:val="0"/>
          <w:numId w:val="8"/>
        </w:numPr>
        <w:ind w:left="567"/>
        <w:jc w:val="both"/>
        <w:rPr>
          <w:sz w:val="15"/>
          <w:szCs w:val="15"/>
          <w:lang w:val="es-ES_tradnl"/>
        </w:rPr>
      </w:pPr>
      <w:r w:rsidRPr="009D1CD4">
        <w:rPr>
          <w:b/>
          <w:sz w:val="15"/>
          <w:szCs w:val="15"/>
          <w:lang w:val="es-ES_tradnl"/>
        </w:rPr>
        <w:t xml:space="preserve">RRHH – Personal: </w:t>
      </w:r>
      <w:r w:rsidRPr="009D1CD4">
        <w:rPr>
          <w:sz w:val="15"/>
          <w:szCs w:val="15"/>
          <w:lang w:val="es-ES_tradnl"/>
        </w:rPr>
        <w:t>Gestionar las devoluciones parciales de préstamo.</w:t>
      </w:r>
    </w:p>
    <w:p w14:paraId="2DC28049" w14:textId="77777777" w:rsidR="00F00BF7" w:rsidRPr="009D1CD4" w:rsidRDefault="00F00BF7" w:rsidP="00F00BF7">
      <w:pPr>
        <w:pStyle w:val="Default"/>
        <w:numPr>
          <w:ilvl w:val="0"/>
          <w:numId w:val="8"/>
        </w:numPr>
        <w:ind w:left="567"/>
        <w:jc w:val="both"/>
        <w:rPr>
          <w:sz w:val="15"/>
          <w:szCs w:val="15"/>
          <w:lang w:val="es-ES_tradnl"/>
        </w:rPr>
      </w:pPr>
      <w:r w:rsidRPr="009D1CD4">
        <w:rPr>
          <w:b/>
          <w:sz w:val="15"/>
          <w:szCs w:val="15"/>
          <w:lang w:val="es-ES_tradnl"/>
        </w:rPr>
        <w:t xml:space="preserve">Comité de Empresa: </w:t>
      </w:r>
      <w:r w:rsidRPr="009D1CD4">
        <w:rPr>
          <w:sz w:val="15"/>
          <w:szCs w:val="15"/>
          <w:lang w:val="es-ES_tradnl"/>
        </w:rPr>
        <w:t>Emitir informe preceptivo sobre las solicitudes.</w:t>
      </w:r>
    </w:p>
    <w:p w14:paraId="19C040EC" w14:textId="77777777" w:rsidR="00F00BF7" w:rsidRDefault="00F00BF7" w:rsidP="00F00BF7">
      <w:pPr>
        <w:pStyle w:val="Default"/>
        <w:numPr>
          <w:ilvl w:val="0"/>
          <w:numId w:val="8"/>
        </w:numPr>
        <w:ind w:left="567"/>
        <w:jc w:val="both"/>
        <w:rPr>
          <w:sz w:val="15"/>
          <w:szCs w:val="15"/>
          <w:lang w:val="es-ES_tradnl"/>
        </w:rPr>
      </w:pPr>
      <w:r w:rsidRPr="009D1CD4">
        <w:rPr>
          <w:b/>
          <w:sz w:val="15"/>
          <w:szCs w:val="15"/>
          <w:lang w:val="es-ES_tradnl"/>
        </w:rPr>
        <w:t xml:space="preserve">Departamento de Contabilidad: </w:t>
      </w:r>
      <w:r w:rsidRPr="009D1CD4">
        <w:rPr>
          <w:sz w:val="15"/>
          <w:szCs w:val="15"/>
          <w:lang w:val="es-ES_tradnl"/>
        </w:rPr>
        <w:t>Tramitar el pago de la solicitud de préstamo.</w:t>
      </w:r>
    </w:p>
    <w:p w14:paraId="7324B569" w14:textId="0A4098F6" w:rsidR="00F5748B" w:rsidRPr="00F5748B" w:rsidRDefault="00F5748B" w:rsidP="00F00BF7">
      <w:pPr>
        <w:pStyle w:val="Default"/>
        <w:numPr>
          <w:ilvl w:val="0"/>
          <w:numId w:val="8"/>
        </w:numPr>
        <w:ind w:left="567"/>
        <w:jc w:val="both"/>
        <w:rPr>
          <w:sz w:val="15"/>
          <w:szCs w:val="15"/>
          <w:lang w:val="es-ES_tradnl"/>
        </w:rPr>
      </w:pPr>
      <w:r>
        <w:rPr>
          <w:b/>
          <w:sz w:val="15"/>
          <w:szCs w:val="15"/>
          <w:lang w:val="es-ES_tradnl"/>
        </w:rPr>
        <w:t>Registro General del IAC:</w:t>
      </w:r>
      <w:r>
        <w:rPr>
          <w:sz w:val="15"/>
          <w:szCs w:val="15"/>
          <w:lang w:val="es-ES_tradnl"/>
        </w:rPr>
        <w:t xml:space="preserve"> </w:t>
      </w:r>
      <w:r w:rsidRPr="00F5748B">
        <w:rPr>
          <w:sz w:val="15"/>
          <w:szCs w:val="15"/>
          <w:lang w:val="es-ES_tradnl"/>
        </w:rPr>
        <w:t>Registrar las solicitudes de préstamo y trasladarlas a RRHH-Personal.</w:t>
      </w:r>
    </w:p>
    <w:p w14:paraId="7F874D63" w14:textId="77777777" w:rsidR="00F00BF7" w:rsidRPr="009D1CD4" w:rsidRDefault="00F00BF7" w:rsidP="00F00BF7">
      <w:pPr>
        <w:pStyle w:val="Default"/>
        <w:spacing w:before="60"/>
        <w:jc w:val="both"/>
        <w:rPr>
          <w:b/>
          <w:sz w:val="15"/>
          <w:szCs w:val="15"/>
          <w:lang w:val="es-ES_tradnl"/>
        </w:rPr>
      </w:pPr>
      <w:r w:rsidRPr="009D1CD4">
        <w:rPr>
          <w:b/>
          <w:sz w:val="15"/>
          <w:szCs w:val="15"/>
          <w:lang w:val="es-ES_tradnl"/>
        </w:rPr>
        <w:t>3. PROCESO:</w:t>
      </w:r>
    </w:p>
    <w:p w14:paraId="04B0BCE3" w14:textId="77777777" w:rsidR="00F00BF7" w:rsidRPr="009D1CD4" w:rsidRDefault="00F00BF7" w:rsidP="00F00BF7">
      <w:pPr>
        <w:pStyle w:val="Default"/>
        <w:spacing w:before="60"/>
        <w:jc w:val="both"/>
        <w:rPr>
          <w:b/>
          <w:sz w:val="15"/>
          <w:szCs w:val="15"/>
          <w:lang w:val="es-ES_tradnl"/>
        </w:rPr>
      </w:pPr>
      <w:r w:rsidRPr="009D1CD4">
        <w:rPr>
          <w:b/>
          <w:sz w:val="15"/>
          <w:szCs w:val="15"/>
          <w:lang w:val="es-ES_tradnl"/>
        </w:rPr>
        <w:t>3.1. CUANTÍA:</w:t>
      </w:r>
    </w:p>
    <w:p w14:paraId="0B4B15ED" w14:textId="77777777" w:rsidR="00F00BF7" w:rsidRPr="009D1CD4" w:rsidRDefault="00F00BF7" w:rsidP="00F00BF7">
      <w:pPr>
        <w:pStyle w:val="Default"/>
        <w:rPr>
          <w:sz w:val="15"/>
          <w:szCs w:val="15"/>
          <w:lang w:val="es-ES_tradnl"/>
        </w:rPr>
      </w:pPr>
      <w:r w:rsidRPr="009D1CD4">
        <w:rPr>
          <w:sz w:val="15"/>
          <w:szCs w:val="15"/>
          <w:lang w:val="es-ES_tradnl"/>
        </w:rPr>
        <w:t>Máximo de 3.000 Euros, sin intereses.</w:t>
      </w:r>
    </w:p>
    <w:p w14:paraId="5A94E72F" w14:textId="77777777" w:rsidR="00F00BF7" w:rsidRPr="009D1CD4" w:rsidRDefault="00F00BF7" w:rsidP="00F00BF7">
      <w:pPr>
        <w:pStyle w:val="Default"/>
        <w:spacing w:before="60"/>
        <w:jc w:val="both"/>
        <w:rPr>
          <w:b/>
          <w:sz w:val="15"/>
          <w:szCs w:val="15"/>
          <w:lang w:val="es-ES_tradnl"/>
        </w:rPr>
      </w:pPr>
      <w:r w:rsidRPr="009D1CD4">
        <w:rPr>
          <w:b/>
          <w:sz w:val="15"/>
          <w:szCs w:val="15"/>
          <w:lang w:val="es-ES_tradnl"/>
        </w:rPr>
        <w:t>3.2. PLAZO DE DEVOLUCIÓN:</w:t>
      </w:r>
    </w:p>
    <w:p w14:paraId="1D75D7DC" w14:textId="77777777" w:rsidR="00F00BF7" w:rsidRPr="009D1CD4" w:rsidRDefault="00F00BF7" w:rsidP="00F00BF7">
      <w:pPr>
        <w:pStyle w:val="Default"/>
        <w:jc w:val="both"/>
        <w:rPr>
          <w:sz w:val="15"/>
          <w:szCs w:val="15"/>
          <w:lang w:val="es-ES_tradnl"/>
        </w:rPr>
      </w:pPr>
      <w:r w:rsidRPr="009D1CD4">
        <w:rPr>
          <w:sz w:val="15"/>
          <w:szCs w:val="15"/>
          <w:lang w:val="es-ES_tradnl"/>
        </w:rPr>
        <w:t>18 meses a partir de la concesión del préstamo.</w:t>
      </w:r>
    </w:p>
    <w:p w14:paraId="4CE6C7F8" w14:textId="77777777" w:rsidR="00F00BF7" w:rsidRPr="009D1CD4" w:rsidRDefault="00F00BF7" w:rsidP="00F00BF7">
      <w:pPr>
        <w:pStyle w:val="Default"/>
        <w:spacing w:before="60"/>
        <w:jc w:val="both"/>
        <w:rPr>
          <w:b/>
          <w:sz w:val="15"/>
          <w:szCs w:val="15"/>
          <w:lang w:val="es-ES_tradnl"/>
        </w:rPr>
      </w:pPr>
      <w:r w:rsidRPr="009D1CD4">
        <w:rPr>
          <w:b/>
          <w:sz w:val="15"/>
          <w:szCs w:val="15"/>
          <w:lang w:val="es-ES_tradnl"/>
        </w:rPr>
        <w:t xml:space="preserve">3.3. FORMA </w:t>
      </w:r>
      <w:r>
        <w:rPr>
          <w:b/>
          <w:sz w:val="15"/>
          <w:szCs w:val="15"/>
          <w:lang w:val="es-ES_tradnl"/>
        </w:rPr>
        <w:t>D</w:t>
      </w:r>
      <w:r w:rsidRPr="009D1CD4">
        <w:rPr>
          <w:b/>
          <w:sz w:val="15"/>
          <w:szCs w:val="15"/>
          <w:lang w:val="es-ES_tradnl"/>
        </w:rPr>
        <w:t>E DEVOLUCIÓN:</w:t>
      </w:r>
    </w:p>
    <w:p w14:paraId="4C926603" w14:textId="77777777" w:rsidR="00F00BF7" w:rsidRPr="009D1CD4" w:rsidRDefault="00F00BF7" w:rsidP="00F00BF7">
      <w:pPr>
        <w:pStyle w:val="Default"/>
        <w:jc w:val="both"/>
        <w:rPr>
          <w:sz w:val="15"/>
          <w:szCs w:val="15"/>
          <w:lang w:val="es-ES_tradnl"/>
        </w:rPr>
      </w:pPr>
      <w:r w:rsidRPr="009D1CD4">
        <w:rPr>
          <w:sz w:val="15"/>
          <w:szCs w:val="15"/>
          <w:lang w:val="es-ES_tradnl"/>
        </w:rPr>
        <w:t>Mensualmente se retendrá, del líquido de la nómina a cobrar, el importe de devolución mensual que corresponda por el préstamo recibido.</w:t>
      </w:r>
    </w:p>
    <w:p w14:paraId="276050AA" w14:textId="77777777" w:rsidR="00F00BF7" w:rsidRPr="009D1CD4" w:rsidRDefault="00F00BF7" w:rsidP="00F00BF7">
      <w:pPr>
        <w:pStyle w:val="Default"/>
        <w:jc w:val="both"/>
        <w:rPr>
          <w:sz w:val="15"/>
          <w:szCs w:val="15"/>
          <w:lang w:val="es-ES_tradnl"/>
        </w:rPr>
      </w:pPr>
      <w:r w:rsidRPr="009D1CD4">
        <w:rPr>
          <w:sz w:val="15"/>
          <w:szCs w:val="15"/>
          <w:lang w:val="es-ES_tradnl"/>
        </w:rPr>
        <w:t>Además, en cualquier momento de la vigencia del préstamo, se podrá cancelar el saldo pendiente con un pago único, en efectivo o mediante talón nominativo al IAC, que se entregará en contabilidad, previa confirmación por parte del departamento de RRHH – Personal del saldo pendiente.</w:t>
      </w:r>
    </w:p>
    <w:p w14:paraId="35035FDA" w14:textId="77777777" w:rsidR="00F00BF7" w:rsidRPr="009D1CD4" w:rsidRDefault="00F00BF7" w:rsidP="00F00BF7">
      <w:pPr>
        <w:pStyle w:val="Default"/>
        <w:jc w:val="both"/>
        <w:rPr>
          <w:color w:val="auto"/>
          <w:sz w:val="15"/>
          <w:szCs w:val="15"/>
          <w:lang w:val="es-ES_tradnl"/>
        </w:rPr>
      </w:pPr>
      <w:r w:rsidRPr="009D1CD4">
        <w:rPr>
          <w:sz w:val="15"/>
          <w:szCs w:val="15"/>
          <w:lang w:val="es-ES_tradnl"/>
        </w:rPr>
        <w:t xml:space="preserve">En caso de extinción del </w:t>
      </w:r>
      <w:r w:rsidRPr="009D1CD4">
        <w:rPr>
          <w:color w:val="auto"/>
          <w:sz w:val="15"/>
          <w:szCs w:val="15"/>
          <w:lang w:val="es-ES_tradnl"/>
        </w:rPr>
        <w:t>contrato, por la causa que fuere, el préstamo se liquidará en la última nómina que se abone y, si esta nómina no fuera suficiente, el trabajador queda obligado a liquidar el saldo pendiente en un pago único, en efectivo o mediante talón nominativo al IAC, antes de la finalización del mes de su última nómina.</w:t>
      </w:r>
    </w:p>
    <w:p w14:paraId="5D80FCB8" w14:textId="77777777" w:rsidR="00F00BF7" w:rsidRPr="009D1CD4" w:rsidRDefault="00F00BF7" w:rsidP="00F00BF7">
      <w:pPr>
        <w:widowControl w:val="0"/>
        <w:autoSpaceDE w:val="0"/>
        <w:autoSpaceDN w:val="0"/>
        <w:adjustRightInd w:val="0"/>
        <w:spacing w:before="60"/>
        <w:jc w:val="both"/>
        <w:rPr>
          <w:rFonts w:ascii="Calibri" w:hAnsi="Calibri" w:cs="Calibri"/>
          <w:sz w:val="15"/>
          <w:szCs w:val="15"/>
        </w:rPr>
      </w:pPr>
      <w:r w:rsidRPr="009D1CD4">
        <w:rPr>
          <w:b/>
          <w:sz w:val="15"/>
          <w:szCs w:val="15"/>
        </w:rPr>
        <w:t>3.4. GESTIÓN:</w:t>
      </w:r>
    </w:p>
    <w:p w14:paraId="386C0678" w14:textId="77777777" w:rsidR="00F00BF7" w:rsidRPr="009D1CD4" w:rsidRDefault="00F00BF7" w:rsidP="00387EA7">
      <w:pPr>
        <w:pStyle w:val="Default"/>
        <w:numPr>
          <w:ilvl w:val="0"/>
          <w:numId w:val="13"/>
        </w:numPr>
        <w:ind w:left="426"/>
        <w:jc w:val="both"/>
        <w:rPr>
          <w:b/>
          <w:sz w:val="15"/>
          <w:szCs w:val="15"/>
          <w:lang w:val="es-ES_tradnl"/>
        </w:rPr>
      </w:pPr>
      <w:r w:rsidRPr="009D1CD4">
        <w:rPr>
          <w:sz w:val="15"/>
          <w:szCs w:val="15"/>
          <w:lang w:val="es-ES_tradnl"/>
        </w:rPr>
        <w:t>Al comienzo del ejercicio económico, y una vez aprobado el Presupuesto del IAC, el Responsable de Gestión Económica y Presupuestaria informará de la apertura de los tres plazos dentro del año en curso para solicitar préstamos y se abrirá la lista de solicitudes de préstamo para el primer plazo. Los plazos para la solicitud de préstamo, así como las cuantías asignadas a distribuir en cada uno de ellos, son los siguientes:</w:t>
      </w:r>
    </w:p>
    <w:p w14:paraId="23410B74" w14:textId="77777777" w:rsidR="00F00BF7" w:rsidRPr="009D1CD4" w:rsidRDefault="00F00BF7" w:rsidP="00387EA7">
      <w:pPr>
        <w:pStyle w:val="Default"/>
        <w:numPr>
          <w:ilvl w:val="0"/>
          <w:numId w:val="9"/>
        </w:numPr>
        <w:ind w:left="851"/>
        <w:jc w:val="both"/>
        <w:rPr>
          <w:sz w:val="15"/>
          <w:szCs w:val="15"/>
          <w:lang w:val="es-ES_tradnl"/>
        </w:rPr>
      </w:pPr>
      <w:r w:rsidRPr="009D1CD4">
        <w:rPr>
          <w:b/>
          <w:sz w:val="15"/>
          <w:szCs w:val="15"/>
          <w:lang w:val="es-ES_tradnl"/>
        </w:rPr>
        <w:t>Primer plazo:</w:t>
      </w:r>
      <w:r w:rsidRPr="009D1CD4">
        <w:rPr>
          <w:sz w:val="15"/>
          <w:szCs w:val="15"/>
          <w:lang w:val="es-ES_tradnl"/>
        </w:rPr>
        <w:t xml:space="preserve"> Solicitudes recibidas desde la apertura de plazo hasta el 31 de mayo.</w:t>
      </w:r>
    </w:p>
    <w:p w14:paraId="11611D29" w14:textId="77777777" w:rsidR="00F00BF7" w:rsidRPr="009D1CD4" w:rsidRDefault="00F00BF7" w:rsidP="00387EA7">
      <w:pPr>
        <w:pStyle w:val="Default"/>
        <w:ind w:left="851"/>
        <w:jc w:val="both"/>
        <w:rPr>
          <w:sz w:val="15"/>
          <w:szCs w:val="15"/>
          <w:lang w:val="es-ES_tradnl"/>
        </w:rPr>
      </w:pPr>
      <w:r w:rsidRPr="009D1CD4">
        <w:rPr>
          <w:sz w:val="15"/>
          <w:szCs w:val="15"/>
          <w:lang w:val="es-ES_tradnl"/>
        </w:rPr>
        <w:t>Presupuesto para el 1</w:t>
      </w:r>
      <w:r w:rsidRPr="009D1CD4">
        <w:rPr>
          <w:sz w:val="15"/>
          <w:szCs w:val="15"/>
          <w:vertAlign w:val="superscript"/>
          <w:lang w:val="es-ES_tradnl"/>
        </w:rPr>
        <w:t>er</w:t>
      </w:r>
      <w:r w:rsidRPr="009D1CD4">
        <w:rPr>
          <w:sz w:val="15"/>
          <w:szCs w:val="15"/>
          <w:lang w:val="es-ES_tradnl"/>
        </w:rPr>
        <w:t xml:space="preserve"> plazo: 50% del presupuesto anual disponible para préstamos.</w:t>
      </w:r>
    </w:p>
    <w:p w14:paraId="55A87453" w14:textId="77777777" w:rsidR="00F00BF7" w:rsidRPr="009D1CD4" w:rsidRDefault="00F00BF7" w:rsidP="00387EA7">
      <w:pPr>
        <w:pStyle w:val="Default"/>
        <w:numPr>
          <w:ilvl w:val="0"/>
          <w:numId w:val="9"/>
        </w:numPr>
        <w:ind w:left="851"/>
        <w:jc w:val="both"/>
        <w:rPr>
          <w:sz w:val="15"/>
          <w:szCs w:val="15"/>
          <w:lang w:val="es-ES_tradnl"/>
        </w:rPr>
      </w:pPr>
      <w:r w:rsidRPr="009D1CD4">
        <w:rPr>
          <w:b/>
          <w:sz w:val="15"/>
          <w:szCs w:val="15"/>
          <w:lang w:val="es-ES_tradnl"/>
        </w:rPr>
        <w:t>Segundo plazo:</w:t>
      </w:r>
      <w:r w:rsidRPr="009D1CD4">
        <w:rPr>
          <w:sz w:val="15"/>
          <w:szCs w:val="15"/>
          <w:lang w:val="es-ES_tradnl"/>
        </w:rPr>
        <w:t xml:space="preserve"> Solicitudes recibidas desde el 1 de junio hasta el 30 de septiembre.</w:t>
      </w:r>
    </w:p>
    <w:p w14:paraId="3A838A77" w14:textId="77777777" w:rsidR="00F00BF7" w:rsidRPr="009D1CD4" w:rsidRDefault="00F00BF7" w:rsidP="00387EA7">
      <w:pPr>
        <w:pStyle w:val="Default"/>
        <w:ind w:left="851"/>
        <w:jc w:val="both"/>
        <w:rPr>
          <w:sz w:val="15"/>
          <w:szCs w:val="15"/>
          <w:lang w:val="es-ES_tradnl"/>
        </w:rPr>
      </w:pPr>
      <w:r w:rsidRPr="009D1CD4">
        <w:rPr>
          <w:sz w:val="15"/>
          <w:szCs w:val="15"/>
          <w:lang w:val="es-ES_tradnl"/>
        </w:rPr>
        <w:t>Presupuesto para el 2</w:t>
      </w:r>
      <w:r w:rsidRPr="009D1CD4">
        <w:rPr>
          <w:sz w:val="15"/>
          <w:szCs w:val="15"/>
          <w:vertAlign w:val="superscript"/>
          <w:lang w:val="es-ES_tradnl"/>
        </w:rPr>
        <w:t>o</w:t>
      </w:r>
      <w:r w:rsidRPr="009D1CD4">
        <w:rPr>
          <w:sz w:val="15"/>
          <w:szCs w:val="15"/>
          <w:lang w:val="es-ES_tradnl"/>
        </w:rPr>
        <w:t xml:space="preserve"> plazo: 30% del presupuesto anual disponible para préstamos.</w:t>
      </w:r>
    </w:p>
    <w:p w14:paraId="6363C9CD" w14:textId="77777777" w:rsidR="00F00BF7" w:rsidRPr="009D1CD4" w:rsidRDefault="00F00BF7" w:rsidP="00387EA7">
      <w:pPr>
        <w:pStyle w:val="Default"/>
        <w:numPr>
          <w:ilvl w:val="0"/>
          <w:numId w:val="9"/>
        </w:numPr>
        <w:ind w:left="851"/>
        <w:jc w:val="both"/>
        <w:rPr>
          <w:sz w:val="15"/>
          <w:szCs w:val="15"/>
          <w:lang w:val="es-ES_tradnl"/>
        </w:rPr>
      </w:pPr>
      <w:r w:rsidRPr="009D1CD4">
        <w:rPr>
          <w:b/>
          <w:sz w:val="15"/>
          <w:szCs w:val="15"/>
          <w:lang w:val="es-ES_tradnl"/>
        </w:rPr>
        <w:t>Tercer plazo:</w:t>
      </w:r>
      <w:r w:rsidRPr="009D1CD4">
        <w:rPr>
          <w:sz w:val="15"/>
          <w:szCs w:val="15"/>
          <w:lang w:val="es-ES_tradnl"/>
        </w:rPr>
        <w:t xml:space="preserve"> Solicitudes recibidas desde el 1 de octubre hasta el 31 de diciembre.</w:t>
      </w:r>
    </w:p>
    <w:p w14:paraId="06419DC2" w14:textId="77777777" w:rsidR="00F00BF7" w:rsidRPr="009D1CD4" w:rsidRDefault="00F00BF7" w:rsidP="00387EA7">
      <w:pPr>
        <w:pStyle w:val="Default"/>
        <w:ind w:left="851"/>
        <w:jc w:val="both"/>
        <w:rPr>
          <w:sz w:val="15"/>
          <w:szCs w:val="15"/>
          <w:lang w:val="es-ES_tradnl"/>
        </w:rPr>
      </w:pPr>
      <w:r w:rsidRPr="009D1CD4">
        <w:rPr>
          <w:sz w:val="15"/>
          <w:szCs w:val="15"/>
          <w:lang w:val="es-ES_tradnl"/>
        </w:rPr>
        <w:t>Presupuesto para el 3</w:t>
      </w:r>
      <w:r w:rsidRPr="009D1CD4">
        <w:rPr>
          <w:sz w:val="15"/>
          <w:szCs w:val="15"/>
          <w:vertAlign w:val="superscript"/>
          <w:lang w:val="es-ES_tradnl"/>
        </w:rPr>
        <w:t>er</w:t>
      </w:r>
      <w:r w:rsidRPr="009D1CD4">
        <w:rPr>
          <w:sz w:val="15"/>
          <w:szCs w:val="15"/>
          <w:lang w:val="es-ES_tradnl"/>
        </w:rPr>
        <w:t xml:space="preserve"> plazo: 20% del presupuesto anual disponible para préstamos.</w:t>
      </w:r>
    </w:p>
    <w:p w14:paraId="1E4DDE9D" w14:textId="77777777" w:rsidR="00F00BF7" w:rsidRPr="009D1CD4" w:rsidRDefault="00F00BF7" w:rsidP="00F00BF7">
      <w:pPr>
        <w:pStyle w:val="Default"/>
        <w:ind w:left="426"/>
        <w:jc w:val="both"/>
        <w:rPr>
          <w:sz w:val="15"/>
          <w:szCs w:val="15"/>
          <w:lang w:val="es-ES_tradnl"/>
        </w:rPr>
      </w:pPr>
      <w:r w:rsidRPr="009D1CD4">
        <w:rPr>
          <w:sz w:val="15"/>
          <w:szCs w:val="15"/>
          <w:lang w:val="es-ES_tradnl"/>
        </w:rPr>
        <w:t>En caso de que quedará presupuesto disponible al finalizar uno de los plazos de solicitud arriba indicados, éste pasaría a incrementar el presupuesto del siguiente plazo, hasta final de año.</w:t>
      </w:r>
    </w:p>
    <w:p w14:paraId="2C61FD49" w14:textId="77777777" w:rsidR="00F00BF7" w:rsidRPr="009D1CD4" w:rsidRDefault="00F00BF7" w:rsidP="00387EA7">
      <w:pPr>
        <w:pStyle w:val="Default"/>
        <w:numPr>
          <w:ilvl w:val="0"/>
          <w:numId w:val="13"/>
        </w:numPr>
        <w:ind w:left="426"/>
        <w:jc w:val="both"/>
        <w:rPr>
          <w:b/>
          <w:sz w:val="15"/>
          <w:szCs w:val="15"/>
          <w:lang w:val="es-ES_tradnl"/>
        </w:rPr>
      </w:pPr>
      <w:r w:rsidRPr="009D1CD4">
        <w:rPr>
          <w:sz w:val="15"/>
          <w:szCs w:val="15"/>
          <w:lang w:val="es-ES_tradnl"/>
        </w:rPr>
        <w:t>Dentro de un mismo plazo, las solicitudes de la lista serán atendidas por orden de llegada, hasta el agotamiento del crédito disponible.</w:t>
      </w:r>
    </w:p>
    <w:p w14:paraId="463EA19A" w14:textId="512691C0" w:rsidR="00F00BF7" w:rsidRPr="009D1CD4" w:rsidRDefault="007C1CBC" w:rsidP="00387EA7">
      <w:pPr>
        <w:pStyle w:val="Default"/>
        <w:numPr>
          <w:ilvl w:val="0"/>
          <w:numId w:val="13"/>
        </w:numPr>
        <w:ind w:left="426"/>
        <w:jc w:val="both"/>
        <w:rPr>
          <w:b/>
          <w:sz w:val="15"/>
          <w:szCs w:val="15"/>
          <w:lang w:val="es-ES_tradnl"/>
        </w:rPr>
      </w:pPr>
      <w:r w:rsidRPr="00257EDF">
        <w:rPr>
          <w:sz w:val="15"/>
          <w:szCs w:val="15"/>
          <w:lang w:val="es-ES_tradnl"/>
        </w:rPr>
        <w:t>Aquellas peticiones que no se hayan podido atender dentro de un periodo de solicitud, por no existir crédito disponible ya para ese periodo, quedarán desestimadas automáticamente, y no se pasarán al periodo siguiente. Deberá solicitarse de nuevo, si es el caso, en los periodos habilitados para ello, siendo atendidas nuevamente por orden de llegada</w:t>
      </w:r>
      <w:r w:rsidR="00F00BF7" w:rsidRPr="009D1CD4">
        <w:rPr>
          <w:sz w:val="15"/>
          <w:szCs w:val="15"/>
          <w:lang w:val="es-ES_tradnl"/>
        </w:rPr>
        <w:t>.</w:t>
      </w:r>
    </w:p>
    <w:p w14:paraId="6BCA60BE" w14:textId="4FB24CD0" w:rsidR="00F00BF7" w:rsidRPr="009D1CD4" w:rsidRDefault="00F00BF7" w:rsidP="00387EA7">
      <w:pPr>
        <w:pStyle w:val="Default"/>
        <w:numPr>
          <w:ilvl w:val="0"/>
          <w:numId w:val="13"/>
        </w:numPr>
        <w:ind w:left="426"/>
        <w:jc w:val="both"/>
        <w:rPr>
          <w:b/>
          <w:sz w:val="15"/>
          <w:szCs w:val="15"/>
          <w:lang w:val="es-ES_tradnl"/>
        </w:rPr>
      </w:pPr>
      <w:r w:rsidRPr="009D1CD4">
        <w:rPr>
          <w:sz w:val="15"/>
          <w:szCs w:val="15"/>
          <w:lang w:val="es-ES_tradnl"/>
        </w:rPr>
        <w:t xml:space="preserve">La lista no se prorrogará </w:t>
      </w:r>
      <w:r w:rsidR="007C1CBC" w:rsidRPr="00257EDF">
        <w:rPr>
          <w:sz w:val="15"/>
          <w:szCs w:val="15"/>
          <w:lang w:val="es-ES_tradnl"/>
        </w:rPr>
        <w:t>por tanto, entre un periodo y el siguiente. Se configurará una lista nueva para cada periodo</w:t>
      </w:r>
      <w:r w:rsidRPr="009D1CD4">
        <w:rPr>
          <w:sz w:val="15"/>
          <w:szCs w:val="15"/>
          <w:lang w:val="es-ES_tradnl"/>
        </w:rPr>
        <w:t xml:space="preserve">.  </w:t>
      </w:r>
    </w:p>
    <w:p w14:paraId="1DC25FFD" w14:textId="77777777" w:rsidR="00450940" w:rsidRPr="00330A5C" w:rsidRDefault="00450940" w:rsidP="00450940">
      <w:pPr>
        <w:pStyle w:val="Default"/>
        <w:numPr>
          <w:ilvl w:val="0"/>
          <w:numId w:val="13"/>
        </w:numPr>
        <w:ind w:left="426"/>
        <w:jc w:val="both"/>
        <w:rPr>
          <w:b/>
          <w:sz w:val="15"/>
          <w:szCs w:val="15"/>
          <w:lang w:val="es-ES_tradnl"/>
        </w:rPr>
      </w:pPr>
      <w:r w:rsidRPr="00330A5C">
        <w:rPr>
          <w:sz w:val="15"/>
          <w:szCs w:val="15"/>
          <w:lang w:val="es-ES_tradnl"/>
        </w:rPr>
        <w:t>Anualmente, y siempre que exista crédito, podrá concederse como máximo una petición por persona. En caso de que haya liquidado un préstamo anteriormente, deberá haber pasado como mínimo un periodo de CUATRO meses, entre esa liquidación y la nueva petición</w:t>
      </w:r>
      <w:r>
        <w:rPr>
          <w:sz w:val="15"/>
          <w:szCs w:val="15"/>
          <w:lang w:val="es-ES_tradnl"/>
        </w:rPr>
        <w:t>.</w:t>
      </w:r>
    </w:p>
    <w:p w14:paraId="48B45C57" w14:textId="77777777" w:rsidR="00F00BF7" w:rsidRPr="009D1CD4" w:rsidRDefault="00F00BF7" w:rsidP="00387EA7">
      <w:pPr>
        <w:pStyle w:val="Default"/>
        <w:numPr>
          <w:ilvl w:val="0"/>
          <w:numId w:val="13"/>
        </w:numPr>
        <w:ind w:left="426"/>
        <w:jc w:val="both"/>
        <w:rPr>
          <w:b/>
          <w:sz w:val="15"/>
          <w:szCs w:val="15"/>
          <w:lang w:val="es-ES_tradnl"/>
        </w:rPr>
      </w:pPr>
      <w:r w:rsidRPr="009D1CD4">
        <w:rPr>
          <w:sz w:val="15"/>
          <w:szCs w:val="15"/>
          <w:lang w:val="es-ES_tradnl"/>
        </w:rPr>
        <w:t>Los préstamos se concederán, en todo caso, en el plazo máximo de un mes desde la solicitud, por Resolución del Director y con el informe previo del Comité de Empresa.</w:t>
      </w:r>
    </w:p>
    <w:p w14:paraId="4A475E5B" w14:textId="77777777" w:rsidR="00F00BF7" w:rsidRPr="009D1CD4" w:rsidRDefault="00F00BF7" w:rsidP="00387EA7">
      <w:pPr>
        <w:pStyle w:val="Default"/>
        <w:numPr>
          <w:ilvl w:val="0"/>
          <w:numId w:val="13"/>
        </w:numPr>
        <w:ind w:left="426"/>
        <w:jc w:val="both"/>
        <w:rPr>
          <w:b/>
          <w:sz w:val="15"/>
          <w:szCs w:val="15"/>
          <w:lang w:val="es-ES_tradnl"/>
        </w:rPr>
      </w:pPr>
      <w:r w:rsidRPr="009D1CD4">
        <w:rPr>
          <w:sz w:val="15"/>
          <w:szCs w:val="15"/>
          <w:lang w:val="es-ES_tradnl"/>
        </w:rPr>
        <w:t>Ningún trabajador podrá estar en situación de amortización de dos préstamos al mismo tiempo.</w:t>
      </w:r>
    </w:p>
    <w:p w14:paraId="2EFBA05A" w14:textId="77777777" w:rsidR="00F00BF7" w:rsidRPr="009D1CD4" w:rsidRDefault="00F00BF7" w:rsidP="00387EA7">
      <w:pPr>
        <w:pStyle w:val="Default"/>
        <w:numPr>
          <w:ilvl w:val="0"/>
          <w:numId w:val="13"/>
        </w:numPr>
        <w:ind w:left="426"/>
        <w:jc w:val="both"/>
        <w:rPr>
          <w:b/>
          <w:sz w:val="15"/>
          <w:szCs w:val="15"/>
          <w:lang w:val="es-ES_tradnl"/>
        </w:rPr>
      </w:pPr>
      <w:r w:rsidRPr="009D1CD4">
        <w:rPr>
          <w:sz w:val="15"/>
          <w:szCs w:val="15"/>
          <w:lang w:val="es-ES_tradnl"/>
        </w:rPr>
        <w:t>El departamento de RRHH-Personal facilitará un modelo de solicitud a los peticionarios (ver anexo). Los peticionarios deberán entregar la solicitud, debidamente cumplimentada y firmada con certificado electrónico, al Registro General del IAC. Será la fecha y hora de entrada en este Registro lo que marcará el orden de prioridad en la lista de solicitudes. Desde Registro General se trasladará esta petición a RRHH-Personal, quien la trasladará a su vez al Comité de Empresa para que emita informe.</w:t>
      </w:r>
    </w:p>
    <w:p w14:paraId="064367A1" w14:textId="77777777" w:rsidR="00F00BF7" w:rsidRPr="009D1CD4" w:rsidRDefault="00F00BF7" w:rsidP="00387EA7">
      <w:pPr>
        <w:pStyle w:val="Default"/>
        <w:numPr>
          <w:ilvl w:val="0"/>
          <w:numId w:val="13"/>
        </w:numPr>
        <w:ind w:left="426"/>
        <w:jc w:val="both"/>
        <w:rPr>
          <w:b/>
          <w:sz w:val="15"/>
          <w:szCs w:val="15"/>
          <w:lang w:val="es-ES_tradnl"/>
        </w:rPr>
      </w:pPr>
      <w:r w:rsidRPr="009D1CD4">
        <w:rPr>
          <w:sz w:val="15"/>
          <w:szCs w:val="15"/>
          <w:lang w:val="es-ES_tradnl"/>
        </w:rPr>
        <w:t>Completado el expediente, compuesto por la Solicitud de Préstamo, el informe del Comité de Empresa y el Certificado de Existencia de Crédito, se trasladará la petición al Director, quién dictará la correspondiente Resolución.</w:t>
      </w:r>
    </w:p>
    <w:p w14:paraId="62EB312D" w14:textId="77777777" w:rsidR="00F00BF7" w:rsidRPr="009D1CD4" w:rsidRDefault="00F00BF7" w:rsidP="00387EA7">
      <w:pPr>
        <w:pStyle w:val="Default"/>
        <w:numPr>
          <w:ilvl w:val="0"/>
          <w:numId w:val="13"/>
        </w:numPr>
        <w:ind w:left="426"/>
        <w:jc w:val="both"/>
        <w:rPr>
          <w:b/>
          <w:sz w:val="15"/>
          <w:szCs w:val="15"/>
          <w:lang w:val="es-ES_tradnl"/>
        </w:rPr>
      </w:pPr>
      <w:r w:rsidRPr="009D1CD4">
        <w:rPr>
          <w:sz w:val="15"/>
          <w:szCs w:val="15"/>
          <w:lang w:val="es-ES_tradnl"/>
        </w:rPr>
        <w:t>Las solicitudes resueltas favorablemente se entregarán en RRHH-Personal para su tramitación, previa notificación al interesado. La firma de la recepción de la resolución de concesión del préstamo por parte del beneficiario supone la conformidad del mismo con el procedimiento vigente, y así se hará constar en la referida resolución.</w:t>
      </w:r>
    </w:p>
    <w:p w14:paraId="73CA7332" w14:textId="77777777" w:rsidR="00F00BF7" w:rsidRPr="009D1CD4" w:rsidRDefault="00F00BF7" w:rsidP="00387EA7">
      <w:pPr>
        <w:pStyle w:val="Default"/>
        <w:numPr>
          <w:ilvl w:val="0"/>
          <w:numId w:val="13"/>
        </w:numPr>
        <w:ind w:left="426"/>
        <w:jc w:val="both"/>
        <w:rPr>
          <w:b/>
          <w:sz w:val="15"/>
          <w:szCs w:val="15"/>
          <w:lang w:val="es-ES_tradnl"/>
        </w:rPr>
      </w:pPr>
      <w:r w:rsidRPr="009D1CD4">
        <w:rPr>
          <w:sz w:val="15"/>
          <w:szCs w:val="15"/>
          <w:lang w:val="es-ES_tradnl"/>
        </w:rPr>
        <w:t>Igualmente, las solicitudes resueltas no favorablemente se entregarán en RRHH-Personal, quien notificará al interesado, especialmente sobre los motivos de su denegación.</w:t>
      </w:r>
    </w:p>
    <w:p w14:paraId="38B23BED" w14:textId="77777777" w:rsidR="00F00BF7" w:rsidRPr="00F00BF7" w:rsidRDefault="00F00BF7" w:rsidP="00F00BF7">
      <w:pPr>
        <w:widowControl w:val="0"/>
        <w:autoSpaceDE w:val="0"/>
        <w:autoSpaceDN w:val="0"/>
        <w:adjustRightInd w:val="0"/>
        <w:spacing w:before="60"/>
        <w:jc w:val="both"/>
        <w:rPr>
          <w:rFonts w:ascii="Calibri" w:hAnsi="Calibri" w:cs="Calibri"/>
          <w:sz w:val="15"/>
          <w:szCs w:val="15"/>
        </w:rPr>
      </w:pPr>
      <w:r w:rsidRPr="009D1CD4">
        <w:rPr>
          <w:b/>
          <w:sz w:val="15"/>
          <w:szCs w:val="15"/>
        </w:rPr>
        <w:t>4. RETENCIONES IRPF:</w:t>
      </w:r>
    </w:p>
    <w:p w14:paraId="28B1C931" w14:textId="6619F37E" w:rsidR="00F00BF7" w:rsidRPr="00F00BF7" w:rsidRDefault="00F00BF7" w:rsidP="00387EA7">
      <w:pPr>
        <w:pStyle w:val="Default"/>
        <w:numPr>
          <w:ilvl w:val="0"/>
          <w:numId w:val="15"/>
        </w:numPr>
        <w:ind w:left="426"/>
        <w:jc w:val="both"/>
        <w:rPr>
          <w:b/>
          <w:color w:val="auto"/>
          <w:sz w:val="15"/>
          <w:szCs w:val="15"/>
          <w:lang w:val="es-ES_tradnl"/>
        </w:rPr>
      </w:pPr>
      <w:r w:rsidRPr="00F00BF7">
        <w:rPr>
          <w:color w:val="auto"/>
          <w:sz w:val="15"/>
          <w:szCs w:val="15"/>
          <w:lang w:val="es-ES_tradnl"/>
        </w:rPr>
        <w:t xml:space="preserve">Estos rendimientos se deben computar, según se desprende de los puntos 1.c y 2 del art. 43 de la citada Ley 35/2006, por la diferencia entre el interés pagado y el interés legal del dinero vigente en el período más el ingreso a cuenta que corresponda. </w:t>
      </w:r>
    </w:p>
    <w:p w14:paraId="47802B53" w14:textId="4E6D0D97" w:rsidR="00F00BF7" w:rsidRPr="009D1CD4" w:rsidRDefault="00F00BF7" w:rsidP="00387EA7">
      <w:pPr>
        <w:pStyle w:val="Default"/>
        <w:numPr>
          <w:ilvl w:val="0"/>
          <w:numId w:val="15"/>
        </w:numPr>
        <w:ind w:left="426"/>
        <w:jc w:val="both"/>
        <w:rPr>
          <w:b/>
          <w:sz w:val="15"/>
          <w:szCs w:val="15"/>
          <w:lang w:val="es-ES_tradnl"/>
        </w:rPr>
      </w:pPr>
      <w:r w:rsidRPr="00F00BF7">
        <w:rPr>
          <w:color w:val="auto"/>
          <w:sz w:val="15"/>
          <w:szCs w:val="15"/>
          <w:lang w:val="es-ES_tradnl"/>
        </w:rPr>
        <w:t xml:space="preserve">De conformidad con el art. 77.2 del Real Decreto 439/2007, </w:t>
      </w:r>
      <w:r w:rsidRPr="009D1CD4">
        <w:rPr>
          <w:sz w:val="15"/>
          <w:szCs w:val="15"/>
          <w:lang w:val="es-ES_tradnl"/>
        </w:rPr>
        <w:t>de 30 de marzo, por el que se aprueba el reglamento del impuesto sobre la renta de las personas físicas, el importe del ingreso a cuenta que corresponda realizar por las retribuciones en especie será el resultado de aplicar al valor de las mismas el porcentaje que corresponda, de acuerdo con lo previsto en el capítulo III, dedicado al cálculo de las retenciones.</w:t>
      </w:r>
    </w:p>
    <w:p w14:paraId="6EAAAF5E" w14:textId="77777777" w:rsidR="00C10780" w:rsidRPr="00257EDF" w:rsidRDefault="00C10780" w:rsidP="00C10780">
      <w:pPr>
        <w:pStyle w:val="Default"/>
        <w:spacing w:before="120"/>
        <w:ind w:left="284"/>
        <w:jc w:val="both"/>
        <w:rPr>
          <w:rFonts w:ascii="Times New Roman" w:hAnsi="Times New Roman" w:cs="Times New Roman"/>
          <w:sz w:val="22"/>
          <w:lang w:val="es-ES"/>
        </w:rPr>
      </w:pPr>
    </w:p>
    <w:sectPr w:rsidR="00C10780" w:rsidRPr="00257EDF" w:rsidSect="00C10780">
      <w:headerReference w:type="default" r:id="rId8"/>
      <w:footerReference w:type="default" r:id="rId9"/>
      <w:pgSz w:w="11900" w:h="17340"/>
      <w:pgMar w:top="1126" w:right="1127" w:bottom="1120" w:left="804" w:header="720" w:footer="3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7719" w14:textId="77777777" w:rsidR="002729AC" w:rsidRDefault="002729AC" w:rsidP="00EA1940">
      <w:r>
        <w:separator/>
      </w:r>
    </w:p>
  </w:endnote>
  <w:endnote w:type="continuationSeparator" w:id="0">
    <w:p w14:paraId="76260E93" w14:textId="77777777" w:rsidR="002729AC" w:rsidRDefault="002729AC" w:rsidP="00EA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95B1" w14:textId="77777777" w:rsidR="00F5748B" w:rsidRPr="00E23DBD" w:rsidRDefault="00F5748B" w:rsidP="00C10780">
    <w:pPr>
      <w:pStyle w:val="Ttulo"/>
      <w:rPr>
        <w:rFonts w:ascii="Century Gothic" w:hAnsi="Century Gothic"/>
        <w:color w:val="800000"/>
        <w:sz w:val="32"/>
        <w:szCs w:val="32"/>
      </w:rPr>
    </w:pPr>
    <w:r w:rsidRPr="00E23DBD">
      <w:rPr>
        <w:rFonts w:ascii="Century Gothic" w:hAnsi="Century Gothic"/>
        <w:color w:val="800000"/>
        <w:sz w:val="32"/>
        <w:szCs w:val="32"/>
        <w:lang w:val="es-ES"/>
      </w:rPr>
      <w:t xml:space="preserve">Procedimiento para la </w:t>
    </w:r>
    <w:r>
      <w:rPr>
        <w:rFonts w:ascii="Century Gothic" w:hAnsi="Century Gothic"/>
        <w:color w:val="800000"/>
        <w:sz w:val="32"/>
        <w:szCs w:val="32"/>
        <w:lang w:val="es-ES"/>
      </w:rPr>
      <w:t>Gestión de Préstamos al Personal</w:t>
    </w:r>
  </w:p>
  <w:tbl>
    <w:tblPr>
      <w:tblW w:w="10314" w:type="dxa"/>
      <w:tblLook w:val="04A0" w:firstRow="1" w:lastRow="0" w:firstColumn="1" w:lastColumn="0" w:noHBand="0" w:noVBand="1"/>
    </w:tblPr>
    <w:tblGrid>
      <w:gridCol w:w="1647"/>
      <w:gridCol w:w="1640"/>
      <w:gridCol w:w="1924"/>
      <w:gridCol w:w="3811"/>
      <w:gridCol w:w="1292"/>
    </w:tblGrid>
    <w:tr w:rsidR="00F5748B" w:rsidRPr="00852F2B" w14:paraId="4AA7D716" w14:textId="77777777" w:rsidTr="00510DBF">
      <w:tc>
        <w:tcPr>
          <w:tcW w:w="1647" w:type="dxa"/>
        </w:tcPr>
        <w:p w14:paraId="18216951" w14:textId="77777777" w:rsidR="00F5748B" w:rsidRPr="00852F2B" w:rsidRDefault="00F5748B" w:rsidP="00510DBF">
          <w:pPr>
            <w:pStyle w:val="Piedepgina"/>
            <w:rPr>
              <w:rFonts w:ascii="Calibri" w:hAnsi="Calibri"/>
              <w:sz w:val="14"/>
              <w:szCs w:val="14"/>
            </w:rPr>
          </w:pPr>
          <w:r w:rsidRPr="00852F2B">
            <w:rPr>
              <w:rFonts w:ascii="Calibri" w:hAnsi="Calibri"/>
              <w:sz w:val="14"/>
              <w:szCs w:val="14"/>
              <w:lang w:val="es-ES"/>
            </w:rPr>
            <w:t>CÓDIGO</w:t>
          </w:r>
        </w:p>
      </w:tc>
      <w:tc>
        <w:tcPr>
          <w:tcW w:w="1640" w:type="dxa"/>
        </w:tcPr>
        <w:p w14:paraId="54D1FCE0" w14:textId="77777777" w:rsidR="00F5748B" w:rsidRPr="00852F2B" w:rsidRDefault="00F5748B" w:rsidP="00510DBF">
          <w:pPr>
            <w:pStyle w:val="Piedepgina"/>
            <w:rPr>
              <w:rFonts w:ascii="Calibri" w:hAnsi="Calibri"/>
              <w:sz w:val="14"/>
              <w:szCs w:val="14"/>
            </w:rPr>
          </w:pPr>
          <w:r w:rsidRPr="00852F2B">
            <w:rPr>
              <w:rFonts w:ascii="Calibri" w:hAnsi="Calibri"/>
              <w:sz w:val="14"/>
              <w:szCs w:val="14"/>
              <w:lang w:val="es-ES"/>
            </w:rPr>
            <w:t>Área responsable</w:t>
          </w:r>
        </w:p>
      </w:tc>
      <w:tc>
        <w:tcPr>
          <w:tcW w:w="1924" w:type="dxa"/>
        </w:tcPr>
        <w:p w14:paraId="16DEFCE9" w14:textId="77777777" w:rsidR="00F5748B" w:rsidRPr="00852F2B" w:rsidRDefault="00F5748B" w:rsidP="00510DBF">
          <w:pPr>
            <w:pStyle w:val="Piedepgina"/>
            <w:rPr>
              <w:rFonts w:ascii="Calibri" w:hAnsi="Calibri"/>
              <w:sz w:val="14"/>
              <w:szCs w:val="14"/>
            </w:rPr>
          </w:pPr>
          <w:r w:rsidRPr="00852F2B">
            <w:rPr>
              <w:rFonts w:ascii="Calibri" w:hAnsi="Calibri"/>
              <w:sz w:val="14"/>
              <w:szCs w:val="14"/>
              <w:lang w:val="es-ES"/>
            </w:rPr>
            <w:t>Proceso/S implicado/s</w:t>
          </w:r>
        </w:p>
      </w:tc>
      <w:tc>
        <w:tcPr>
          <w:tcW w:w="3811" w:type="dxa"/>
        </w:tcPr>
        <w:p w14:paraId="039940D4" w14:textId="77777777" w:rsidR="00F5748B" w:rsidRPr="00852F2B" w:rsidRDefault="00F5748B" w:rsidP="00510DBF">
          <w:pPr>
            <w:pStyle w:val="Piedepgina"/>
            <w:rPr>
              <w:rFonts w:ascii="Calibri" w:hAnsi="Calibri"/>
              <w:sz w:val="14"/>
              <w:szCs w:val="14"/>
              <w:lang w:val="es-ES"/>
            </w:rPr>
          </w:pPr>
          <w:r w:rsidRPr="00852F2B">
            <w:rPr>
              <w:rFonts w:ascii="Calibri" w:hAnsi="Calibri"/>
              <w:sz w:val="14"/>
              <w:szCs w:val="14"/>
              <w:lang w:val="es-ES"/>
            </w:rPr>
            <w:t>CONTACTO / INFORMACIÓN</w:t>
          </w:r>
        </w:p>
      </w:tc>
      <w:tc>
        <w:tcPr>
          <w:tcW w:w="1292" w:type="dxa"/>
        </w:tcPr>
        <w:p w14:paraId="2958B1C0" w14:textId="77777777" w:rsidR="00F5748B" w:rsidRPr="00852F2B" w:rsidRDefault="00F5748B" w:rsidP="00510DBF">
          <w:pPr>
            <w:pStyle w:val="Piedepgina"/>
            <w:jc w:val="right"/>
            <w:rPr>
              <w:rFonts w:ascii="Calibri" w:hAnsi="Calibri"/>
              <w:sz w:val="14"/>
              <w:szCs w:val="14"/>
              <w:lang w:val="es-ES"/>
            </w:rPr>
          </w:pPr>
          <w:r w:rsidRPr="00852F2B">
            <w:rPr>
              <w:rFonts w:ascii="Calibri" w:hAnsi="Calibri"/>
              <w:sz w:val="14"/>
              <w:szCs w:val="14"/>
              <w:lang w:val="es-ES"/>
            </w:rPr>
            <w:t>VERSIÓN</w:t>
          </w:r>
        </w:p>
      </w:tc>
    </w:tr>
    <w:tr w:rsidR="00F5748B" w:rsidRPr="00852F2B" w14:paraId="28A366AA" w14:textId="77777777" w:rsidTr="00510DBF">
      <w:trPr>
        <w:trHeight w:val="100"/>
      </w:trPr>
      <w:tc>
        <w:tcPr>
          <w:tcW w:w="1647" w:type="dxa"/>
        </w:tcPr>
        <w:p w14:paraId="23F333A5" w14:textId="77777777" w:rsidR="00F5748B" w:rsidRPr="00852F2B" w:rsidRDefault="00F5748B" w:rsidP="00510DBF">
          <w:pPr>
            <w:pStyle w:val="ContactDetails"/>
            <w:rPr>
              <w:rFonts w:ascii="Calibri" w:hAnsi="Calibri"/>
            </w:rPr>
          </w:pPr>
          <w:r w:rsidRPr="00852F2B">
            <w:rPr>
              <w:rFonts w:ascii="Calibri" w:hAnsi="Calibri"/>
            </w:rPr>
            <w:t>TBD</w:t>
          </w:r>
        </w:p>
      </w:tc>
      <w:tc>
        <w:tcPr>
          <w:tcW w:w="1640" w:type="dxa"/>
        </w:tcPr>
        <w:p w14:paraId="441113D0" w14:textId="77777777" w:rsidR="00F5748B" w:rsidRPr="00852F2B" w:rsidRDefault="00F5748B" w:rsidP="00510DBF">
          <w:pPr>
            <w:pStyle w:val="ContactDetails"/>
            <w:rPr>
              <w:rFonts w:ascii="Calibri" w:hAnsi="Calibri"/>
            </w:rPr>
          </w:pPr>
          <w:r w:rsidRPr="00852F2B">
            <w:rPr>
              <w:rFonts w:ascii="Calibri" w:hAnsi="Calibri"/>
            </w:rPr>
            <w:t>ASSGG</w:t>
          </w:r>
        </w:p>
      </w:tc>
      <w:tc>
        <w:tcPr>
          <w:tcW w:w="1924" w:type="dxa"/>
        </w:tcPr>
        <w:p w14:paraId="5E31E85B" w14:textId="77777777" w:rsidR="00F5748B" w:rsidRPr="00852F2B" w:rsidRDefault="00F5748B" w:rsidP="00510DBF">
          <w:pPr>
            <w:pStyle w:val="ContactDetails"/>
            <w:rPr>
              <w:rFonts w:ascii="Calibri" w:hAnsi="Calibri"/>
            </w:rPr>
          </w:pPr>
          <w:r>
            <w:rPr>
              <w:rFonts w:ascii="Calibri" w:hAnsi="Calibri"/>
            </w:rPr>
            <w:t>FINANZAS</w:t>
          </w:r>
        </w:p>
      </w:tc>
      <w:tc>
        <w:tcPr>
          <w:tcW w:w="3811" w:type="dxa"/>
        </w:tcPr>
        <w:p w14:paraId="3BABC413" w14:textId="77777777" w:rsidR="00F5748B" w:rsidRPr="00852F2B" w:rsidRDefault="00F5748B" w:rsidP="00510DBF">
          <w:pPr>
            <w:pStyle w:val="ContactDetails"/>
            <w:rPr>
              <w:rFonts w:ascii="Calibri" w:hAnsi="Calibri"/>
            </w:rPr>
          </w:pPr>
          <w:r w:rsidRPr="00852F2B">
            <w:rPr>
              <w:rFonts w:ascii="Calibri" w:hAnsi="Calibri"/>
            </w:rPr>
            <w:t>grupo.procesos@iac.es</w:t>
          </w:r>
        </w:p>
      </w:tc>
      <w:tc>
        <w:tcPr>
          <w:tcW w:w="1292" w:type="dxa"/>
        </w:tcPr>
        <w:p w14:paraId="478DDEA6" w14:textId="7B505A53" w:rsidR="00F5748B" w:rsidRPr="00852F2B" w:rsidRDefault="00450940" w:rsidP="00510DBF">
          <w:pPr>
            <w:pStyle w:val="ContactDetails"/>
            <w:jc w:val="right"/>
            <w:rPr>
              <w:rFonts w:ascii="Calibri" w:hAnsi="Calibri"/>
            </w:rPr>
          </w:pPr>
          <w:r>
            <w:rPr>
              <w:rFonts w:ascii="Calibri" w:hAnsi="Calibri"/>
            </w:rPr>
            <w:t>ABRIL 2026</w:t>
          </w:r>
        </w:p>
      </w:tc>
    </w:tr>
  </w:tbl>
  <w:p w14:paraId="6BB8C94C" w14:textId="0906C762" w:rsidR="00F5748B" w:rsidRPr="00EA1940" w:rsidRDefault="00F5748B" w:rsidP="00C10780">
    <w:pPr>
      <w:spacing w:line="240" w:lineRule="atLeast"/>
      <w:rPr>
        <w:rFonts w:ascii="Verdana" w:hAnsi="Verdana" w:cs="Tahoma"/>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4B36" w14:textId="77777777" w:rsidR="002729AC" w:rsidRDefault="002729AC" w:rsidP="00EA1940">
      <w:r>
        <w:separator/>
      </w:r>
    </w:p>
  </w:footnote>
  <w:footnote w:type="continuationSeparator" w:id="0">
    <w:p w14:paraId="5A970966" w14:textId="77777777" w:rsidR="002729AC" w:rsidRDefault="002729AC" w:rsidP="00EA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0" w:type="dxa"/>
      <w:tblInd w:w="70"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34"/>
      <w:gridCol w:w="7088"/>
      <w:gridCol w:w="2048"/>
    </w:tblGrid>
    <w:tr w:rsidR="0018675B" w14:paraId="3E857627" w14:textId="77777777" w:rsidTr="00450940">
      <w:tc>
        <w:tcPr>
          <w:tcW w:w="1134" w:type="dxa"/>
        </w:tcPr>
        <w:p w14:paraId="4359001F" w14:textId="77777777" w:rsidR="0018675B" w:rsidRDefault="0018675B" w:rsidP="00510DBF">
          <w:r>
            <w:rPr>
              <w:noProof/>
              <w:lang w:val="es-ES" w:eastAsia="es-ES"/>
            </w:rPr>
            <w:drawing>
              <wp:inline distT="0" distB="0" distL="0" distR="0" wp14:anchorId="2112824C" wp14:editId="5E1D6610">
                <wp:extent cx="588010" cy="58801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588010"/>
                        </a:xfrm>
                        <a:prstGeom prst="rect">
                          <a:avLst/>
                        </a:prstGeom>
                        <a:noFill/>
                        <a:ln>
                          <a:noFill/>
                        </a:ln>
                      </pic:spPr>
                    </pic:pic>
                  </a:graphicData>
                </a:graphic>
              </wp:inline>
            </w:drawing>
          </w:r>
        </w:p>
      </w:tc>
      <w:tc>
        <w:tcPr>
          <w:tcW w:w="7088" w:type="dxa"/>
          <w:tcBorders>
            <w:top w:val="single" w:sz="6" w:space="0" w:color="000000"/>
            <w:bottom w:val="single" w:sz="6" w:space="0" w:color="000000"/>
          </w:tcBorders>
          <w:shd w:val="clear" w:color="auto" w:fill="auto"/>
        </w:tcPr>
        <w:p w14:paraId="75175395" w14:textId="6BBF343C" w:rsidR="0018675B" w:rsidRPr="00E23DBD" w:rsidRDefault="0018675B" w:rsidP="0018675B">
          <w:pPr>
            <w:jc w:val="center"/>
            <w:rPr>
              <w:rFonts w:ascii="Calibri" w:hAnsi="Calibri"/>
              <w:sz w:val="20"/>
              <w:szCs w:val="20"/>
              <w:lang w:val="es-ES"/>
            </w:rPr>
          </w:pPr>
          <w:r w:rsidRPr="00852F2B">
            <w:rPr>
              <w:rFonts w:ascii="Calibri" w:hAnsi="Calibri"/>
              <w:b/>
              <w:sz w:val="32"/>
            </w:rPr>
            <w:t xml:space="preserve">PROCEDIMIENTO PARA LA </w:t>
          </w:r>
          <w:r>
            <w:rPr>
              <w:rFonts w:ascii="Calibri" w:hAnsi="Calibri"/>
              <w:b/>
              <w:sz w:val="32"/>
            </w:rPr>
            <w:t>GESTIÓN</w:t>
          </w:r>
          <w:r w:rsidRPr="00852F2B">
            <w:rPr>
              <w:rFonts w:ascii="Calibri" w:hAnsi="Calibri"/>
              <w:b/>
              <w:sz w:val="32"/>
            </w:rPr>
            <w:t xml:space="preserve"> DE </w:t>
          </w:r>
          <w:r>
            <w:rPr>
              <w:rFonts w:ascii="Calibri" w:hAnsi="Calibri"/>
              <w:b/>
              <w:sz w:val="32"/>
            </w:rPr>
            <w:t>PRÉSTAMOS AL PERSONAL</w:t>
          </w:r>
        </w:p>
      </w:tc>
      <w:tc>
        <w:tcPr>
          <w:tcW w:w="2048" w:type="dxa"/>
        </w:tcPr>
        <w:p w14:paraId="72AF7F21" w14:textId="1D483551" w:rsidR="00450940" w:rsidRDefault="00450940" w:rsidP="00450940">
          <w:pPr>
            <w:rPr>
              <w:rFonts w:ascii="Calibri" w:hAnsi="Calibri"/>
              <w:sz w:val="20"/>
              <w:szCs w:val="20"/>
              <w:lang w:val="es-ES"/>
            </w:rPr>
          </w:pPr>
          <w:r>
            <w:rPr>
              <w:rFonts w:ascii="Calibri" w:hAnsi="Calibri"/>
              <w:sz w:val="20"/>
              <w:szCs w:val="20"/>
              <w:lang w:val="es-ES"/>
            </w:rPr>
            <w:t xml:space="preserve">Aprobado: </w:t>
          </w:r>
          <w:r w:rsidR="00887557">
            <w:rPr>
              <w:rFonts w:ascii="Calibri" w:hAnsi="Calibri"/>
              <w:sz w:val="20"/>
              <w:szCs w:val="20"/>
              <w:lang w:val="es-ES"/>
            </w:rPr>
            <w:t>19</w:t>
          </w:r>
          <w:r>
            <w:rPr>
              <w:rFonts w:ascii="Calibri" w:hAnsi="Calibri"/>
              <w:sz w:val="20"/>
              <w:szCs w:val="20"/>
              <w:lang w:val="es-ES"/>
            </w:rPr>
            <w:t>/02/20</w:t>
          </w:r>
        </w:p>
        <w:p w14:paraId="51AD16C3" w14:textId="77777777" w:rsidR="00450940" w:rsidRDefault="00450940" w:rsidP="00450940">
          <w:pPr>
            <w:rPr>
              <w:rFonts w:ascii="Calibri" w:hAnsi="Calibri"/>
              <w:sz w:val="20"/>
              <w:szCs w:val="20"/>
              <w:lang w:val="es-ES"/>
            </w:rPr>
          </w:pPr>
          <w:r>
            <w:rPr>
              <w:rFonts w:ascii="Calibri" w:hAnsi="Calibri"/>
              <w:sz w:val="20"/>
              <w:szCs w:val="20"/>
              <w:lang w:val="es-ES"/>
            </w:rPr>
            <w:t xml:space="preserve">                    CD 06/20</w:t>
          </w:r>
        </w:p>
        <w:p w14:paraId="784F27C1" w14:textId="77777777" w:rsidR="00450940" w:rsidRDefault="00450940" w:rsidP="00450940">
          <w:pPr>
            <w:rPr>
              <w:rFonts w:ascii="Calibri" w:hAnsi="Calibri"/>
              <w:sz w:val="20"/>
              <w:szCs w:val="20"/>
              <w:lang w:val="es-ES"/>
            </w:rPr>
          </w:pPr>
          <w:r>
            <w:rPr>
              <w:rFonts w:ascii="Calibri" w:hAnsi="Calibri"/>
              <w:sz w:val="20"/>
              <w:szCs w:val="20"/>
              <w:lang w:val="es-ES"/>
            </w:rPr>
            <w:t>Modificado: CD14/25</w:t>
          </w:r>
        </w:p>
        <w:p w14:paraId="398F037C" w14:textId="3B66E02F" w:rsidR="0018675B" w:rsidRPr="00257EDF" w:rsidRDefault="00450940" w:rsidP="0018675B">
          <w:pPr>
            <w:rPr>
              <w:rFonts w:ascii="Calibri" w:hAnsi="Calibri"/>
              <w:sz w:val="20"/>
              <w:szCs w:val="20"/>
              <w:lang w:val="es-ES"/>
            </w:rPr>
          </w:pPr>
          <w:r>
            <w:rPr>
              <w:rFonts w:ascii="Calibri" w:hAnsi="Calibri"/>
              <w:sz w:val="20"/>
              <w:szCs w:val="20"/>
              <w:lang w:val="es-ES"/>
            </w:rPr>
            <w:t>Revisado: 09/04/26</w:t>
          </w:r>
        </w:p>
      </w:tc>
    </w:tr>
  </w:tbl>
  <w:p w14:paraId="79F1F68B" w14:textId="43C1F84E" w:rsidR="00F5748B" w:rsidRDefault="00F574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913"/>
    <w:multiLevelType w:val="hybridMultilevel"/>
    <w:tmpl w:val="36688C80"/>
    <w:lvl w:ilvl="0" w:tplc="0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 w15:restartNumberingAfterBreak="0">
    <w:nsid w:val="137348F9"/>
    <w:multiLevelType w:val="hybridMultilevel"/>
    <w:tmpl w:val="8616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D71F7"/>
    <w:multiLevelType w:val="multilevel"/>
    <w:tmpl w:val="E0B401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B94748"/>
    <w:multiLevelType w:val="hybridMultilevel"/>
    <w:tmpl w:val="BDB0B6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29A71EC0"/>
    <w:multiLevelType w:val="hybridMultilevel"/>
    <w:tmpl w:val="BB925348"/>
    <w:lvl w:ilvl="0" w:tplc="DA9E7700">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2BFA490E"/>
    <w:multiLevelType w:val="hybridMultilevel"/>
    <w:tmpl w:val="E0B401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96BBB"/>
    <w:multiLevelType w:val="hybridMultilevel"/>
    <w:tmpl w:val="74DA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A3DB2"/>
    <w:multiLevelType w:val="hybridMultilevel"/>
    <w:tmpl w:val="2D8A4CDC"/>
    <w:lvl w:ilvl="0" w:tplc="08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24747F"/>
    <w:multiLevelType w:val="hybridMultilevel"/>
    <w:tmpl w:val="E68A01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011A45"/>
    <w:multiLevelType w:val="hybridMultilevel"/>
    <w:tmpl w:val="DBC4871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15:restartNumberingAfterBreak="0">
    <w:nsid w:val="5B755BC0"/>
    <w:multiLevelType w:val="hybridMultilevel"/>
    <w:tmpl w:val="4A08678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15:restartNumberingAfterBreak="0">
    <w:nsid w:val="5BD12223"/>
    <w:multiLevelType w:val="multilevel"/>
    <w:tmpl w:val="E68A01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6B777A"/>
    <w:multiLevelType w:val="hybridMultilevel"/>
    <w:tmpl w:val="CF82294C"/>
    <w:lvl w:ilvl="0" w:tplc="08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29D3B2E"/>
    <w:multiLevelType w:val="hybridMultilevel"/>
    <w:tmpl w:val="01AC85B4"/>
    <w:lvl w:ilvl="0" w:tplc="DA9E7700">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7772233F"/>
    <w:multiLevelType w:val="hybridMultilevel"/>
    <w:tmpl w:val="F43EA1AC"/>
    <w:lvl w:ilvl="0" w:tplc="14D6C04C">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num w:numId="1">
    <w:abstractNumId w:val="0"/>
  </w:num>
  <w:num w:numId="2">
    <w:abstractNumId w:val="10"/>
  </w:num>
  <w:num w:numId="3">
    <w:abstractNumId w:val="13"/>
  </w:num>
  <w:num w:numId="4">
    <w:abstractNumId w:val="4"/>
  </w:num>
  <w:num w:numId="5">
    <w:abstractNumId w:val="3"/>
  </w:num>
  <w:num w:numId="6">
    <w:abstractNumId w:val="9"/>
  </w:num>
  <w:num w:numId="7">
    <w:abstractNumId w:val="14"/>
  </w:num>
  <w:num w:numId="8">
    <w:abstractNumId w:val="1"/>
  </w:num>
  <w:num w:numId="9">
    <w:abstractNumId w:val="6"/>
  </w:num>
  <w:num w:numId="10">
    <w:abstractNumId w:val="5"/>
  </w:num>
  <w:num w:numId="11">
    <w:abstractNumId w:val="8"/>
  </w:num>
  <w:num w:numId="12">
    <w:abstractNumId w:val="2"/>
  </w:num>
  <w:num w:numId="13">
    <w:abstractNumId w:val="12"/>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A4"/>
    <w:rsid w:val="00001B10"/>
    <w:rsid w:val="00011A29"/>
    <w:rsid w:val="00015D91"/>
    <w:rsid w:val="00036737"/>
    <w:rsid w:val="00065004"/>
    <w:rsid w:val="000663E0"/>
    <w:rsid w:val="000758D4"/>
    <w:rsid w:val="00091D20"/>
    <w:rsid w:val="000B5BB9"/>
    <w:rsid w:val="000F643B"/>
    <w:rsid w:val="00101901"/>
    <w:rsid w:val="00141619"/>
    <w:rsid w:val="00160596"/>
    <w:rsid w:val="0016513C"/>
    <w:rsid w:val="001825A3"/>
    <w:rsid w:val="0018675B"/>
    <w:rsid w:val="001A64D3"/>
    <w:rsid w:val="001B266F"/>
    <w:rsid w:val="001B5096"/>
    <w:rsid w:val="001C4124"/>
    <w:rsid w:val="002250A0"/>
    <w:rsid w:val="0023605F"/>
    <w:rsid w:val="002532EB"/>
    <w:rsid w:val="00256339"/>
    <w:rsid w:val="00257EDF"/>
    <w:rsid w:val="002729AC"/>
    <w:rsid w:val="002A1111"/>
    <w:rsid w:val="002F2A29"/>
    <w:rsid w:val="00306632"/>
    <w:rsid w:val="003527E6"/>
    <w:rsid w:val="003616B6"/>
    <w:rsid w:val="00377194"/>
    <w:rsid w:val="0038031C"/>
    <w:rsid w:val="00387EA7"/>
    <w:rsid w:val="003B2A75"/>
    <w:rsid w:val="003D6C12"/>
    <w:rsid w:val="00407221"/>
    <w:rsid w:val="004142D2"/>
    <w:rsid w:val="00423952"/>
    <w:rsid w:val="00431E09"/>
    <w:rsid w:val="00450940"/>
    <w:rsid w:val="004666A5"/>
    <w:rsid w:val="00477451"/>
    <w:rsid w:val="004B235E"/>
    <w:rsid w:val="004E0EDC"/>
    <w:rsid w:val="004E2194"/>
    <w:rsid w:val="004F1996"/>
    <w:rsid w:val="00510DBF"/>
    <w:rsid w:val="0055732E"/>
    <w:rsid w:val="005A0E55"/>
    <w:rsid w:val="005B43AB"/>
    <w:rsid w:val="005D2190"/>
    <w:rsid w:val="005D2E4C"/>
    <w:rsid w:val="005E2CD2"/>
    <w:rsid w:val="0061174D"/>
    <w:rsid w:val="006376C0"/>
    <w:rsid w:val="006E13EB"/>
    <w:rsid w:val="006E65D8"/>
    <w:rsid w:val="00712A33"/>
    <w:rsid w:val="00734D0E"/>
    <w:rsid w:val="007411B3"/>
    <w:rsid w:val="0077569D"/>
    <w:rsid w:val="00781037"/>
    <w:rsid w:val="00783817"/>
    <w:rsid w:val="00785E0F"/>
    <w:rsid w:val="007B7B3E"/>
    <w:rsid w:val="007C1CBC"/>
    <w:rsid w:val="007E36C9"/>
    <w:rsid w:val="00816045"/>
    <w:rsid w:val="00852F2B"/>
    <w:rsid w:val="0085460C"/>
    <w:rsid w:val="00854FD8"/>
    <w:rsid w:val="008623F4"/>
    <w:rsid w:val="00862F8A"/>
    <w:rsid w:val="008631AA"/>
    <w:rsid w:val="00887557"/>
    <w:rsid w:val="008A2922"/>
    <w:rsid w:val="008A42F7"/>
    <w:rsid w:val="008B1471"/>
    <w:rsid w:val="008D2B8B"/>
    <w:rsid w:val="00907C81"/>
    <w:rsid w:val="009278BF"/>
    <w:rsid w:val="00933A26"/>
    <w:rsid w:val="009406AD"/>
    <w:rsid w:val="009500FD"/>
    <w:rsid w:val="009606AC"/>
    <w:rsid w:val="009A7482"/>
    <w:rsid w:val="009B263B"/>
    <w:rsid w:val="009B6B16"/>
    <w:rsid w:val="00A14B62"/>
    <w:rsid w:val="00A153FE"/>
    <w:rsid w:val="00A522E0"/>
    <w:rsid w:val="00A87302"/>
    <w:rsid w:val="00A920A2"/>
    <w:rsid w:val="00AA4CDD"/>
    <w:rsid w:val="00AC38C4"/>
    <w:rsid w:val="00AD1290"/>
    <w:rsid w:val="00AE5926"/>
    <w:rsid w:val="00B2328F"/>
    <w:rsid w:val="00B37623"/>
    <w:rsid w:val="00B60283"/>
    <w:rsid w:val="00B807E9"/>
    <w:rsid w:val="00B90C99"/>
    <w:rsid w:val="00BA6BCA"/>
    <w:rsid w:val="00BC533E"/>
    <w:rsid w:val="00BC5499"/>
    <w:rsid w:val="00BE0D6D"/>
    <w:rsid w:val="00BE4907"/>
    <w:rsid w:val="00BE6EE9"/>
    <w:rsid w:val="00BF697D"/>
    <w:rsid w:val="00C10780"/>
    <w:rsid w:val="00C34F05"/>
    <w:rsid w:val="00C43A5A"/>
    <w:rsid w:val="00C945A2"/>
    <w:rsid w:val="00CA0D93"/>
    <w:rsid w:val="00D440A5"/>
    <w:rsid w:val="00D9502D"/>
    <w:rsid w:val="00DA3230"/>
    <w:rsid w:val="00DE2BED"/>
    <w:rsid w:val="00E14B86"/>
    <w:rsid w:val="00E23DBD"/>
    <w:rsid w:val="00E44B13"/>
    <w:rsid w:val="00E53666"/>
    <w:rsid w:val="00E54C04"/>
    <w:rsid w:val="00E57026"/>
    <w:rsid w:val="00E617AE"/>
    <w:rsid w:val="00E71CE9"/>
    <w:rsid w:val="00EA1940"/>
    <w:rsid w:val="00EE68E3"/>
    <w:rsid w:val="00F00BF7"/>
    <w:rsid w:val="00F36D76"/>
    <w:rsid w:val="00F5748B"/>
    <w:rsid w:val="00F6121E"/>
    <w:rsid w:val="00F65B52"/>
    <w:rsid w:val="00FA5AA4"/>
    <w:rsid w:val="00FB26E5"/>
    <w:rsid w:val="00FF411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2AA94F"/>
  <w15:docId w15:val="{67F15F85-BC86-9E44-BD20-41552AFA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533E"/>
    <w:pPr>
      <w:ind w:left="720"/>
      <w:contextualSpacing/>
    </w:pPr>
  </w:style>
  <w:style w:type="character" w:styleId="Hipervnculo">
    <w:name w:val="Hyperlink"/>
    <w:basedOn w:val="Fuentedeprrafopredeter"/>
    <w:uiPriority w:val="99"/>
    <w:unhideWhenUsed/>
    <w:rsid w:val="00B2328F"/>
    <w:rPr>
      <w:color w:val="0000FF"/>
      <w:u w:val="single"/>
    </w:rPr>
  </w:style>
  <w:style w:type="paragraph" w:styleId="Encabezado">
    <w:name w:val="header"/>
    <w:basedOn w:val="Normal"/>
    <w:link w:val="EncabezadoCar"/>
    <w:uiPriority w:val="99"/>
    <w:unhideWhenUsed/>
    <w:rsid w:val="00EA1940"/>
    <w:pPr>
      <w:tabs>
        <w:tab w:val="center" w:pos="4252"/>
        <w:tab w:val="right" w:pos="8504"/>
      </w:tabs>
    </w:pPr>
  </w:style>
  <w:style w:type="character" w:customStyle="1" w:styleId="EncabezadoCar">
    <w:name w:val="Encabezado Car"/>
    <w:basedOn w:val="Fuentedeprrafopredeter"/>
    <w:link w:val="Encabezado"/>
    <w:uiPriority w:val="99"/>
    <w:rsid w:val="00EA1940"/>
  </w:style>
  <w:style w:type="paragraph" w:styleId="Piedepgina">
    <w:name w:val="footer"/>
    <w:basedOn w:val="Normal"/>
    <w:link w:val="PiedepginaCar"/>
    <w:uiPriority w:val="99"/>
    <w:unhideWhenUsed/>
    <w:rsid w:val="00EA1940"/>
    <w:pPr>
      <w:tabs>
        <w:tab w:val="center" w:pos="4252"/>
        <w:tab w:val="right" w:pos="8504"/>
      </w:tabs>
    </w:pPr>
  </w:style>
  <w:style w:type="character" w:customStyle="1" w:styleId="PiedepginaCar">
    <w:name w:val="Pie de página Car"/>
    <w:basedOn w:val="Fuentedeprrafopredeter"/>
    <w:link w:val="Piedepgina"/>
    <w:uiPriority w:val="99"/>
    <w:rsid w:val="00EA1940"/>
  </w:style>
  <w:style w:type="table" w:styleId="Tablaconcuadrcula">
    <w:name w:val="Table Grid"/>
    <w:basedOn w:val="Tablanormal"/>
    <w:uiPriority w:val="59"/>
    <w:rsid w:val="00EA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2F2A29"/>
  </w:style>
  <w:style w:type="character" w:customStyle="1" w:styleId="TextonotapieCar">
    <w:name w:val="Texto nota pie Car"/>
    <w:basedOn w:val="Fuentedeprrafopredeter"/>
    <w:link w:val="Textonotapie"/>
    <w:uiPriority w:val="99"/>
    <w:rsid w:val="002F2A29"/>
  </w:style>
  <w:style w:type="character" w:styleId="Refdenotaalpie">
    <w:name w:val="footnote reference"/>
    <w:basedOn w:val="Fuentedeprrafopredeter"/>
    <w:uiPriority w:val="99"/>
    <w:unhideWhenUsed/>
    <w:rsid w:val="002F2A29"/>
    <w:rPr>
      <w:vertAlign w:val="superscript"/>
    </w:rPr>
  </w:style>
  <w:style w:type="paragraph" w:styleId="Textodeglobo">
    <w:name w:val="Balloon Text"/>
    <w:basedOn w:val="Normal"/>
    <w:link w:val="TextodegloboCar"/>
    <w:uiPriority w:val="99"/>
    <w:semiHidden/>
    <w:unhideWhenUsed/>
    <w:rsid w:val="00AA4CD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A4CDD"/>
    <w:rPr>
      <w:rFonts w:ascii="Lucida Grande" w:hAnsi="Lucida Grande" w:cs="Lucida Grande"/>
      <w:sz w:val="18"/>
      <w:szCs w:val="18"/>
    </w:rPr>
  </w:style>
  <w:style w:type="character" w:styleId="Nmerodepgina">
    <w:name w:val="page number"/>
    <w:basedOn w:val="Fuentedeprrafopredeter"/>
    <w:semiHidden/>
    <w:rsid w:val="00852F2B"/>
  </w:style>
  <w:style w:type="paragraph" w:customStyle="1" w:styleId="ContactDetails">
    <w:name w:val="Contact Details"/>
    <w:basedOn w:val="Normal"/>
    <w:uiPriority w:val="1"/>
    <w:qFormat/>
    <w:rsid w:val="00852F2B"/>
    <w:rPr>
      <w:color w:val="7F7F7F" w:themeColor="text1" w:themeTint="80"/>
      <w:sz w:val="14"/>
      <w:szCs w:val="14"/>
      <w:lang w:eastAsia="es-ES"/>
    </w:rPr>
  </w:style>
  <w:style w:type="paragraph" w:styleId="Ttulo">
    <w:name w:val="Title"/>
    <w:basedOn w:val="Normal"/>
    <w:next w:val="Normal"/>
    <w:link w:val="TtuloCar"/>
    <w:uiPriority w:val="1"/>
    <w:rsid w:val="00852F2B"/>
    <w:pPr>
      <w:spacing w:after="60"/>
    </w:pPr>
    <w:rPr>
      <w:rFonts w:asciiTheme="majorHAnsi" w:eastAsiaTheme="majorEastAsia" w:hAnsiTheme="majorHAnsi" w:cstheme="majorBidi"/>
      <w:color w:val="F79646" w:themeColor="accent6"/>
      <w:kern w:val="48"/>
      <w:sz w:val="56"/>
      <w:szCs w:val="60"/>
      <w:lang w:eastAsia="es-ES"/>
    </w:rPr>
  </w:style>
  <w:style w:type="character" w:customStyle="1" w:styleId="TtuloCar">
    <w:name w:val="Título Car"/>
    <w:basedOn w:val="Fuentedeprrafopredeter"/>
    <w:link w:val="Ttulo"/>
    <w:uiPriority w:val="1"/>
    <w:rsid w:val="00852F2B"/>
    <w:rPr>
      <w:rFonts w:asciiTheme="majorHAnsi" w:eastAsiaTheme="majorEastAsia" w:hAnsiTheme="majorHAnsi" w:cstheme="majorBidi"/>
      <w:color w:val="F79646" w:themeColor="accent6"/>
      <w:kern w:val="48"/>
      <w:sz w:val="56"/>
      <w:szCs w:val="60"/>
      <w:lang w:eastAsia="es-ES"/>
    </w:rPr>
  </w:style>
  <w:style w:type="paragraph" w:customStyle="1" w:styleId="Default">
    <w:name w:val="Default"/>
    <w:rsid w:val="008A42F7"/>
    <w:pPr>
      <w:widowControl w:val="0"/>
      <w:autoSpaceDE w:val="0"/>
      <w:autoSpaceDN w:val="0"/>
      <w:adjustRightInd w:val="0"/>
    </w:pPr>
    <w:rPr>
      <w:rFonts w:ascii="Calibri" w:eastAsiaTheme="minorHAnsi" w:hAnsi="Calibri" w:cs="Calibri"/>
      <w:color w:val="000000"/>
      <w:lang w:val="en-GB" w:eastAsia="en-US"/>
    </w:rPr>
  </w:style>
  <w:style w:type="character" w:customStyle="1" w:styleId="FormHeadingChar">
    <w:name w:val="Form Heading Char"/>
    <w:basedOn w:val="Fuentedeprrafopredeter"/>
    <w:link w:val="FormHeading"/>
    <w:rsid w:val="00510DBF"/>
    <w:rPr>
      <w:color w:val="595959" w:themeColor="text1" w:themeTint="A6"/>
    </w:rPr>
  </w:style>
  <w:style w:type="paragraph" w:customStyle="1" w:styleId="FormHeading">
    <w:name w:val="Form Heading"/>
    <w:basedOn w:val="Normal"/>
    <w:link w:val="FormHeadingChar"/>
    <w:qFormat/>
    <w:rsid w:val="00510DBF"/>
    <w:pPr>
      <w:spacing w:before="40" w:after="4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658186">
      <w:bodyDiv w:val="1"/>
      <w:marLeft w:val="0"/>
      <w:marRight w:val="0"/>
      <w:marTop w:val="0"/>
      <w:marBottom w:val="0"/>
      <w:divBdr>
        <w:top w:val="none" w:sz="0" w:space="0" w:color="auto"/>
        <w:left w:val="none" w:sz="0" w:space="0" w:color="auto"/>
        <w:bottom w:val="none" w:sz="0" w:space="0" w:color="auto"/>
        <w:right w:val="none" w:sz="0" w:space="0" w:color="auto"/>
      </w:divBdr>
    </w:div>
    <w:div w:id="562713392">
      <w:bodyDiv w:val="1"/>
      <w:marLeft w:val="0"/>
      <w:marRight w:val="0"/>
      <w:marTop w:val="0"/>
      <w:marBottom w:val="0"/>
      <w:divBdr>
        <w:top w:val="none" w:sz="0" w:space="0" w:color="auto"/>
        <w:left w:val="none" w:sz="0" w:space="0" w:color="auto"/>
        <w:bottom w:val="none" w:sz="0" w:space="0" w:color="auto"/>
        <w:right w:val="none" w:sz="0" w:space="0" w:color="auto"/>
      </w:divBdr>
      <w:divsChild>
        <w:div w:id="1043019696">
          <w:marLeft w:val="0"/>
          <w:marRight w:val="0"/>
          <w:marTop w:val="0"/>
          <w:marBottom w:val="0"/>
          <w:divBdr>
            <w:top w:val="none" w:sz="0" w:space="0" w:color="auto"/>
            <w:left w:val="none" w:sz="0" w:space="0" w:color="auto"/>
            <w:bottom w:val="none" w:sz="0" w:space="0" w:color="auto"/>
            <w:right w:val="none" w:sz="0" w:space="0" w:color="auto"/>
          </w:divBdr>
        </w:div>
        <w:div w:id="930912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meta xmlns="http://schemas.apple.com/cocoa/2006/metadata">
  <generator>CocoaOOXMLWriter/1138.51</generator>
</meta>
</file>

<file path=customXml/itemProps1.xml><?xml version="1.0" encoding="utf-8"?>
<ds:datastoreItem xmlns:ds="http://schemas.openxmlformats.org/officeDocument/2006/customXml" ds:itemID="{1F25CF0F-AADF-E240-8352-D775E1F13D5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1258</Words>
  <Characters>6923</Characters>
  <Application/>
  <DocSecurity>0</DocSecurity>
  <Lines>57</Lines>
  <Paragraphs>16</Paragraphs>
  <ScaleCrop>false</ScaleCrop>
  <HeadingPairs>
    <vt:vector baseType="variant" size="4">
      <vt:variant>
        <vt:lpstr>Título</vt:lpstr>
      </vt:variant>
      <vt:variant>
        <vt:i4>1</vt:i4>
      </vt:variant>
      <vt:variant>
        <vt:lpstr>Title</vt:lpstr>
      </vt:variant>
      <vt:variant>
        <vt:i4>1</vt:i4>
      </vt:variant>
    </vt:vector>
  </HeadingPairs>
  <TitlesOfParts>
    <vt:vector baseType="lpstr" size="2">
      <vt:lpstr>pro52-1r0.PDF</vt:lpstr>
      <vt:lpstr>pro52-1r0.PDF</vt:lpstr>
    </vt:vector>
  </TitlesOfParts>
  <Company/>
  <LinksUpToDate>false</LinksUpToDate>
  <CharactersWithSpaces>8165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