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B2" w:rsidRDefault="00A3430F">
      <w:pPr>
        <w:pStyle w:val="Textoindependiente"/>
        <w:ind w:left="384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078991" cy="10789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1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EB2" w:rsidRDefault="00CB6EB2">
      <w:pPr>
        <w:pStyle w:val="Textoindependiente"/>
        <w:rPr>
          <w:rFonts w:ascii="Times New Roman"/>
          <w:sz w:val="20"/>
        </w:rPr>
      </w:pPr>
    </w:p>
    <w:p w:rsidR="00CB6EB2" w:rsidRDefault="007D71F9">
      <w:pPr>
        <w:pStyle w:val="Textoindependiente"/>
        <w:spacing w:before="5"/>
        <w:rPr>
          <w:rFonts w:ascii="Times New Roman"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220980</wp:posOffset>
                </wp:positionV>
                <wp:extent cx="581406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2BFCC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7.4pt" to="541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Qk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" strokeweight=".16917mm">
                <w10:wrap type="topAndBottom" anchorx="page"/>
              </v:line>
            </w:pict>
          </mc:Fallback>
        </mc:AlternateContent>
      </w:r>
    </w:p>
    <w:p w:rsidR="00CB6EB2" w:rsidRDefault="00CB6EB2">
      <w:pPr>
        <w:pStyle w:val="Textoindependiente"/>
        <w:spacing w:before="8"/>
        <w:rPr>
          <w:rFonts w:ascii="Times New Roman"/>
          <w:sz w:val="11"/>
        </w:rPr>
      </w:pPr>
    </w:p>
    <w:p w:rsidR="00CB6EB2" w:rsidRDefault="00A3430F">
      <w:pPr>
        <w:spacing w:before="101"/>
        <w:ind w:left="1797" w:right="1796"/>
        <w:jc w:val="center"/>
        <w:rPr>
          <w:sz w:val="28"/>
        </w:rPr>
      </w:pPr>
      <w:r>
        <w:rPr>
          <w:w w:val="105"/>
          <w:sz w:val="28"/>
        </w:rPr>
        <w:t>OBSERVATORIO ROQUE DE LOS MUCHACHOS</w:t>
      </w:r>
    </w:p>
    <w:p w:rsidR="00CB6EB2" w:rsidRDefault="00CB6EB2">
      <w:pPr>
        <w:pStyle w:val="Textoindependiente"/>
        <w:rPr>
          <w:sz w:val="32"/>
        </w:rPr>
      </w:pPr>
    </w:p>
    <w:p w:rsidR="00CB6EB2" w:rsidRDefault="00CB6EB2">
      <w:pPr>
        <w:pStyle w:val="Textoindependiente"/>
        <w:spacing w:before="2"/>
        <w:rPr>
          <w:sz w:val="40"/>
        </w:rPr>
      </w:pPr>
    </w:p>
    <w:p w:rsidR="00CB6EB2" w:rsidRDefault="00A3430F">
      <w:pPr>
        <w:pStyle w:val="Textoindependiente"/>
        <w:ind w:left="1797" w:right="1796"/>
        <w:jc w:val="center"/>
      </w:pPr>
      <w:r>
        <w:t xml:space="preserve">Precios de habitación /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rates</w:t>
      </w:r>
      <w:proofErr w:type="spellEnd"/>
    </w:p>
    <w:p w:rsidR="00CB6EB2" w:rsidRDefault="00CB6EB2">
      <w:pPr>
        <w:pStyle w:val="Textoindependiente"/>
        <w:rPr>
          <w:sz w:val="28"/>
        </w:rPr>
      </w:pPr>
    </w:p>
    <w:p w:rsidR="00CB6EB2" w:rsidRDefault="00A3430F">
      <w:pPr>
        <w:pStyle w:val="Textoindependiente"/>
        <w:spacing w:before="232"/>
        <w:ind w:left="141" w:right="136"/>
        <w:jc w:val="both"/>
      </w:pPr>
      <w:r>
        <w:t xml:space="preserve">Para su información, detallamos a continuación los precios de habitación por cada noche de estancia, autorizados por el Comité de los Servicios Comunes que se celebró el </w:t>
      </w:r>
      <w:r w:rsidR="00890B28">
        <w:t>2</w:t>
      </w:r>
      <w:r w:rsidR="00EA45A4">
        <w:t>0</w:t>
      </w:r>
      <w:r w:rsidR="00890B28">
        <w:t xml:space="preserve"> </w:t>
      </w:r>
      <w:r>
        <w:t xml:space="preserve">de </w:t>
      </w:r>
      <w:r w:rsidR="00890B28">
        <w:t>marzo</w:t>
      </w:r>
      <w:r>
        <w:t xml:space="preserve"> de 202</w:t>
      </w:r>
      <w:r w:rsidR="00EA45A4">
        <w:t>5</w:t>
      </w:r>
      <w:r>
        <w:t xml:space="preserve"> en La Palma, ratificados posteriormente por el Comité Científico Internacional / </w:t>
      </w:r>
      <w:proofErr w:type="spellStart"/>
      <w:r>
        <w:t>Updated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per </w:t>
      </w:r>
      <w:proofErr w:type="spellStart"/>
      <w:proofErr w:type="gramStart"/>
      <w:r>
        <w:t>night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meeting </w:t>
      </w:r>
      <w:proofErr w:type="spellStart"/>
      <w:r>
        <w:t>held</w:t>
      </w:r>
      <w:proofErr w:type="spellEnd"/>
      <w:r>
        <w:t xml:space="preserve"> in La Palma </w:t>
      </w:r>
      <w:proofErr w:type="spellStart"/>
      <w:r>
        <w:t>on</w:t>
      </w:r>
      <w:proofErr w:type="spellEnd"/>
      <w:r>
        <w:t xml:space="preserve"> </w:t>
      </w:r>
      <w:r w:rsidR="00890B28">
        <w:t>2</w:t>
      </w:r>
      <w:r w:rsidR="00E37BD4">
        <w:t>0th</w:t>
      </w:r>
      <w:r>
        <w:t xml:space="preserve"> </w:t>
      </w:r>
      <w:proofErr w:type="spellStart"/>
      <w:r w:rsidR="00890B28">
        <w:t>March</w:t>
      </w:r>
      <w:proofErr w:type="spellEnd"/>
      <w:r>
        <w:t xml:space="preserve"> 202</w:t>
      </w:r>
      <w:r w:rsidR="00E37BD4">
        <w:t>5</w:t>
      </w:r>
      <w:r>
        <w:t xml:space="preserve">,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ratified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CCI</w:t>
      </w:r>
    </w:p>
    <w:p w:rsidR="00CB6EB2" w:rsidRDefault="00CB6EB2">
      <w:pPr>
        <w:pStyle w:val="Textoindependiente"/>
        <w:rPr>
          <w:sz w:val="28"/>
        </w:rPr>
      </w:pPr>
    </w:p>
    <w:p w:rsidR="00CB6EB2" w:rsidRDefault="00A3430F">
      <w:pPr>
        <w:pStyle w:val="Textoindependiente"/>
        <w:spacing w:before="232"/>
        <w:ind w:left="141"/>
      </w:pPr>
      <w:r>
        <w:rPr>
          <w:w w:val="105"/>
        </w:rPr>
        <w:t xml:space="preserve">Los precios de las habitaciones en la Residencia son / </w:t>
      </w:r>
      <w:proofErr w:type="spellStart"/>
      <w:r>
        <w:rPr>
          <w:w w:val="105"/>
        </w:rPr>
        <w:t>Rooms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w w:val="105"/>
        </w:rPr>
        <w:t>:</w:t>
      </w:r>
    </w:p>
    <w:p w:rsidR="00CB6EB2" w:rsidRDefault="00CB6EB2">
      <w:pPr>
        <w:pStyle w:val="Textoindependiente"/>
        <w:spacing w:before="11"/>
        <w:rPr>
          <w:sz w:val="23"/>
        </w:rPr>
      </w:pPr>
    </w:p>
    <w:p w:rsidR="00CB6EB2" w:rsidRDefault="00A3430F">
      <w:pPr>
        <w:pStyle w:val="Prrafodelista"/>
        <w:numPr>
          <w:ilvl w:val="0"/>
          <w:numId w:val="1"/>
        </w:numPr>
        <w:tabs>
          <w:tab w:val="left" w:pos="303"/>
        </w:tabs>
        <w:ind w:hanging="162"/>
        <w:rPr>
          <w:sz w:val="24"/>
        </w:rPr>
      </w:pPr>
      <w:r>
        <w:rPr>
          <w:sz w:val="24"/>
        </w:rPr>
        <w:t xml:space="preserve">Habitación sencilla / Single </w:t>
      </w:r>
      <w:proofErr w:type="spellStart"/>
      <w:r>
        <w:rPr>
          <w:sz w:val="24"/>
        </w:rPr>
        <w:t>room</w:t>
      </w:r>
      <w:proofErr w:type="spellEnd"/>
      <w:r>
        <w:rPr>
          <w:sz w:val="24"/>
        </w:rPr>
        <w:t>: 7</w:t>
      </w:r>
      <w:r w:rsidR="00E37BD4">
        <w:rPr>
          <w:sz w:val="24"/>
        </w:rPr>
        <w:t>5</w:t>
      </w:r>
      <w:r>
        <w:rPr>
          <w:sz w:val="24"/>
        </w:rPr>
        <w:t>,</w:t>
      </w:r>
      <w:r w:rsidR="00E37BD4">
        <w:rPr>
          <w:sz w:val="24"/>
        </w:rPr>
        <w:t>4</w:t>
      </w:r>
      <w:r w:rsidR="00890B28"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€</w:t>
      </w:r>
    </w:p>
    <w:p w:rsidR="00CB6EB2" w:rsidRDefault="00A3430F">
      <w:pPr>
        <w:pStyle w:val="Prrafodelista"/>
        <w:numPr>
          <w:ilvl w:val="0"/>
          <w:numId w:val="1"/>
        </w:numPr>
        <w:tabs>
          <w:tab w:val="left" w:pos="303"/>
        </w:tabs>
        <w:spacing w:before="2"/>
        <w:ind w:hanging="162"/>
        <w:rPr>
          <w:sz w:val="24"/>
        </w:rPr>
      </w:pPr>
      <w:r>
        <w:rPr>
          <w:sz w:val="24"/>
        </w:rPr>
        <w:t xml:space="preserve">Habitación uso doble / </w:t>
      </w:r>
      <w:proofErr w:type="spellStart"/>
      <w:r>
        <w:rPr>
          <w:sz w:val="24"/>
        </w:rPr>
        <w:t>Double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room</w:t>
      </w:r>
      <w:proofErr w:type="spellEnd"/>
      <w:r>
        <w:rPr>
          <w:sz w:val="24"/>
        </w:rPr>
        <w:t>: 1</w:t>
      </w:r>
      <w:r w:rsidR="00E37BD4">
        <w:rPr>
          <w:sz w:val="24"/>
        </w:rPr>
        <w:t>32</w:t>
      </w:r>
      <w:r>
        <w:rPr>
          <w:sz w:val="24"/>
        </w:rPr>
        <w:t>,</w:t>
      </w:r>
      <w:r w:rsidR="00890B28">
        <w:rPr>
          <w:sz w:val="24"/>
        </w:rPr>
        <w:t>0</w:t>
      </w:r>
      <w:r w:rsidR="00E37BD4">
        <w:rPr>
          <w:sz w:val="24"/>
        </w:rPr>
        <w:t>8</w:t>
      </w:r>
      <w:r>
        <w:rPr>
          <w:spacing w:val="-10"/>
          <w:sz w:val="24"/>
        </w:rPr>
        <w:t xml:space="preserve"> </w:t>
      </w:r>
      <w:r>
        <w:rPr>
          <w:sz w:val="24"/>
        </w:rPr>
        <w:t>€</w:t>
      </w:r>
    </w:p>
    <w:p w:rsidR="00CB6EB2" w:rsidRDefault="00CB6EB2">
      <w:pPr>
        <w:pStyle w:val="Textoindependiente"/>
        <w:rPr>
          <w:sz w:val="28"/>
        </w:rPr>
      </w:pPr>
    </w:p>
    <w:p w:rsidR="00CB6EB2" w:rsidRDefault="00A3430F">
      <w:pPr>
        <w:pStyle w:val="Textoindependiente"/>
        <w:spacing w:before="232"/>
        <w:ind w:left="141"/>
      </w:pPr>
      <w:proofErr w:type="gramStart"/>
      <w:r>
        <w:rPr>
          <w:w w:val="105"/>
        </w:rPr>
        <w:t>El precio de las habitaciones en los Anexos son</w:t>
      </w:r>
      <w:proofErr w:type="gramEnd"/>
      <w:r>
        <w:rPr>
          <w:w w:val="105"/>
        </w:rPr>
        <w:t xml:space="preserve"> / </w:t>
      </w:r>
      <w:proofErr w:type="spellStart"/>
      <w:r>
        <w:rPr>
          <w:w w:val="105"/>
        </w:rPr>
        <w:t>Rooms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annexes</w:t>
      </w:r>
      <w:proofErr w:type="spellEnd"/>
      <w:r>
        <w:rPr>
          <w:w w:val="105"/>
        </w:rPr>
        <w:t>:</w:t>
      </w:r>
    </w:p>
    <w:p w:rsidR="00CB6EB2" w:rsidRDefault="00CB6EB2">
      <w:pPr>
        <w:pStyle w:val="Textoindependiente"/>
        <w:spacing w:before="10"/>
        <w:rPr>
          <w:sz w:val="23"/>
        </w:rPr>
      </w:pPr>
    </w:p>
    <w:p w:rsidR="00CB6EB2" w:rsidRDefault="00A3430F">
      <w:pPr>
        <w:pStyle w:val="Prrafodelista"/>
        <w:numPr>
          <w:ilvl w:val="0"/>
          <w:numId w:val="1"/>
        </w:numPr>
        <w:tabs>
          <w:tab w:val="left" w:pos="303"/>
        </w:tabs>
        <w:spacing w:before="1" w:line="279" w:lineRule="exact"/>
        <w:ind w:hanging="162"/>
        <w:rPr>
          <w:sz w:val="24"/>
        </w:rPr>
      </w:pPr>
      <w:r>
        <w:rPr>
          <w:sz w:val="24"/>
        </w:rPr>
        <w:t xml:space="preserve">Habitación sencilla / Single </w:t>
      </w:r>
      <w:proofErr w:type="spellStart"/>
      <w:r>
        <w:rPr>
          <w:sz w:val="24"/>
        </w:rPr>
        <w:t>room</w:t>
      </w:r>
      <w:proofErr w:type="spellEnd"/>
      <w:r>
        <w:rPr>
          <w:sz w:val="24"/>
        </w:rPr>
        <w:t xml:space="preserve">: </w:t>
      </w:r>
      <w:r w:rsidR="00E37BD4">
        <w:rPr>
          <w:sz w:val="24"/>
        </w:rPr>
        <w:t>66</w:t>
      </w:r>
      <w:r>
        <w:rPr>
          <w:sz w:val="24"/>
        </w:rPr>
        <w:t>,</w:t>
      </w:r>
      <w:r w:rsidR="00E37BD4">
        <w:rPr>
          <w:sz w:val="24"/>
        </w:rPr>
        <w:t>34</w:t>
      </w:r>
      <w:r>
        <w:rPr>
          <w:spacing w:val="-4"/>
          <w:sz w:val="24"/>
        </w:rPr>
        <w:t xml:space="preserve"> </w:t>
      </w:r>
      <w:r>
        <w:rPr>
          <w:sz w:val="24"/>
        </w:rPr>
        <w:t>€</w:t>
      </w:r>
    </w:p>
    <w:p w:rsidR="00CB6EB2" w:rsidRDefault="00A3430F">
      <w:pPr>
        <w:pStyle w:val="Prrafodelista"/>
        <w:numPr>
          <w:ilvl w:val="0"/>
          <w:numId w:val="1"/>
        </w:numPr>
        <w:tabs>
          <w:tab w:val="left" w:pos="303"/>
        </w:tabs>
        <w:ind w:hanging="162"/>
        <w:rPr>
          <w:sz w:val="24"/>
        </w:rPr>
      </w:pPr>
      <w:r>
        <w:rPr>
          <w:sz w:val="24"/>
        </w:rPr>
        <w:t xml:space="preserve">Habitación uso doble / </w:t>
      </w:r>
      <w:proofErr w:type="spellStart"/>
      <w:r>
        <w:rPr>
          <w:sz w:val="24"/>
        </w:rPr>
        <w:t>Double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room</w:t>
      </w:r>
      <w:proofErr w:type="spellEnd"/>
      <w:r>
        <w:rPr>
          <w:sz w:val="24"/>
        </w:rPr>
        <w:t>: 1</w:t>
      </w:r>
      <w:r w:rsidR="00E37BD4">
        <w:rPr>
          <w:sz w:val="24"/>
        </w:rPr>
        <w:t>16</w:t>
      </w:r>
      <w:r>
        <w:rPr>
          <w:sz w:val="24"/>
        </w:rPr>
        <w:t>,</w:t>
      </w:r>
      <w:r w:rsidR="00E37BD4"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€</w:t>
      </w:r>
    </w:p>
    <w:p w:rsidR="00E37BD4" w:rsidRDefault="00E37BD4">
      <w:pPr>
        <w:pStyle w:val="Prrafodelista"/>
        <w:numPr>
          <w:ilvl w:val="0"/>
          <w:numId w:val="1"/>
        </w:numPr>
        <w:tabs>
          <w:tab w:val="left" w:pos="303"/>
        </w:tabs>
        <w:ind w:hanging="162"/>
        <w:rPr>
          <w:sz w:val="24"/>
        </w:rPr>
      </w:pPr>
      <w:r>
        <w:rPr>
          <w:sz w:val="24"/>
        </w:rPr>
        <w:t xml:space="preserve">Albergue / </w:t>
      </w:r>
      <w:proofErr w:type="spellStart"/>
      <w:r>
        <w:rPr>
          <w:sz w:val="24"/>
        </w:rPr>
        <w:t>Lodge</w:t>
      </w:r>
      <w:proofErr w:type="spellEnd"/>
      <w:r>
        <w:rPr>
          <w:sz w:val="24"/>
        </w:rPr>
        <w:t>: 25,46 €</w:t>
      </w:r>
    </w:p>
    <w:p w:rsidR="00E37BD4" w:rsidRDefault="00E37BD4" w:rsidP="00E37BD4">
      <w:pPr>
        <w:tabs>
          <w:tab w:val="left" w:pos="303"/>
        </w:tabs>
        <w:rPr>
          <w:sz w:val="24"/>
        </w:rPr>
      </w:pPr>
    </w:p>
    <w:p w:rsidR="00E37BD4" w:rsidRPr="00E37BD4" w:rsidRDefault="00E37BD4" w:rsidP="00E37BD4">
      <w:pPr>
        <w:tabs>
          <w:tab w:val="left" w:pos="303"/>
        </w:tabs>
        <w:rPr>
          <w:sz w:val="24"/>
        </w:rPr>
      </w:pPr>
    </w:p>
    <w:p w:rsidR="00CB6EB2" w:rsidRDefault="00CB6EB2">
      <w:pPr>
        <w:pStyle w:val="Textoindependiente"/>
        <w:rPr>
          <w:sz w:val="28"/>
        </w:rPr>
      </w:pPr>
    </w:p>
    <w:p w:rsidR="00CB6EB2" w:rsidRDefault="00A3430F">
      <w:pPr>
        <w:pStyle w:val="Textoindependiente"/>
        <w:spacing w:before="233"/>
        <w:ind w:left="141" w:right="161"/>
      </w:pPr>
      <w:r>
        <w:t xml:space="preserve">Estos precios no incluyen el desayuno, comidas, ni cualquier gasto de lavandería que usted pueda realizar /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, </w:t>
      </w:r>
      <w:proofErr w:type="spellStart"/>
      <w:r>
        <w:t>meals</w:t>
      </w:r>
      <w:proofErr w:type="spellEnd"/>
      <w:r>
        <w:t xml:space="preserve"> </w:t>
      </w:r>
      <w:proofErr w:type="spellStart"/>
      <w:r>
        <w:t>or</w:t>
      </w:r>
      <w:proofErr w:type="spellEnd"/>
      <w:r>
        <w:rPr>
          <w:spacing w:val="-34"/>
        </w:rPr>
        <w:t xml:space="preserve"> </w:t>
      </w:r>
      <w:proofErr w:type="spellStart"/>
      <w:r>
        <w:t>laundry</w:t>
      </w:r>
      <w:proofErr w:type="spellEnd"/>
      <w:r>
        <w:t>.</w:t>
      </w:r>
    </w:p>
    <w:p w:rsidR="00CB6EB2" w:rsidRDefault="00CB6EB2">
      <w:pPr>
        <w:pStyle w:val="Textoindependiente"/>
        <w:rPr>
          <w:sz w:val="28"/>
        </w:rPr>
      </w:pPr>
    </w:p>
    <w:p w:rsidR="00CB6EB2" w:rsidRDefault="00CB6EB2">
      <w:pPr>
        <w:pStyle w:val="Textoindependiente"/>
        <w:rPr>
          <w:sz w:val="28"/>
        </w:rPr>
      </w:pPr>
    </w:p>
    <w:p w:rsidR="00890B28" w:rsidRPr="00890B28" w:rsidRDefault="00A3430F" w:rsidP="00890B28">
      <w:pPr>
        <w:pStyle w:val="Textoindependiente"/>
        <w:spacing w:before="185"/>
        <w:ind w:left="141"/>
        <w:rPr>
          <w:spacing w:val="-2"/>
          <w:w w:val="99"/>
        </w:rPr>
      </w:pPr>
      <w:r>
        <w:rPr>
          <w:w w:val="99"/>
        </w:rPr>
        <w:t>Pr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c</w:t>
      </w:r>
      <w:r>
        <w:rPr>
          <w:spacing w:val="1"/>
          <w:w w:val="99"/>
        </w:rPr>
        <w:t>i</w:t>
      </w:r>
      <w:r>
        <w:rPr>
          <w:w w:val="99"/>
        </w:rPr>
        <w:t>os</w:t>
      </w:r>
      <w:r>
        <w:rPr>
          <w:spacing w:val="-2"/>
        </w:rPr>
        <w:t xml:space="preserve"> </w:t>
      </w:r>
      <w:r>
        <w:rPr>
          <w:w w:val="99"/>
        </w:rPr>
        <w:t>v</w:t>
      </w:r>
      <w:r>
        <w:rPr>
          <w:spacing w:val="1"/>
          <w:w w:val="99"/>
        </w:rPr>
        <w:t>á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d</w:t>
      </w:r>
      <w:r>
        <w:rPr>
          <w:w w:val="99"/>
        </w:rPr>
        <w:t>os</w:t>
      </w:r>
      <w:r>
        <w:rPr>
          <w:spacing w:val="-2"/>
        </w:rPr>
        <w:t xml:space="preserve"> </w:t>
      </w:r>
      <w:r>
        <w:rPr>
          <w:w w:val="99"/>
        </w:rPr>
        <w:t>d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s</w:t>
      </w:r>
      <w:r>
        <w:rPr>
          <w:w w:val="99"/>
        </w:rPr>
        <w:t>de</w:t>
      </w:r>
      <w:r>
        <w:rPr>
          <w:spacing w:val="-2"/>
        </w:rPr>
        <w:t xml:space="preserve"> </w:t>
      </w:r>
      <w:r>
        <w:rPr>
          <w:spacing w:val="1"/>
          <w:w w:val="99"/>
        </w:rPr>
        <w:t>e</w:t>
      </w:r>
      <w:r>
        <w:rPr>
          <w:w w:val="99"/>
        </w:rPr>
        <w:t>l</w:t>
      </w:r>
      <w:r>
        <w:rPr>
          <w:spacing w:val="-2"/>
        </w:rPr>
        <w:t xml:space="preserve"> </w:t>
      </w:r>
      <w:r>
        <w:rPr>
          <w:w w:val="99"/>
        </w:rPr>
        <w:t>1</w:t>
      </w:r>
      <w:r>
        <w:rPr>
          <w:spacing w:val="-2"/>
        </w:rPr>
        <w:t xml:space="preserve"> </w:t>
      </w:r>
      <w:r>
        <w:rPr>
          <w:w w:val="99"/>
        </w:rPr>
        <w:t>de</w:t>
      </w:r>
      <w:r>
        <w:t xml:space="preserve"> </w:t>
      </w:r>
      <w:r w:rsidR="00E37BD4">
        <w:t>abril</w:t>
      </w:r>
      <w:r>
        <w:t xml:space="preserve"> </w:t>
      </w:r>
      <w:r>
        <w:rPr>
          <w:w w:val="99"/>
        </w:rPr>
        <w:t>de</w:t>
      </w:r>
      <w:r>
        <w:t xml:space="preserve"> </w:t>
      </w:r>
      <w:r>
        <w:rPr>
          <w:spacing w:val="-2"/>
          <w:w w:val="99"/>
        </w:rPr>
        <w:t>202</w:t>
      </w:r>
      <w:r w:rsidR="00E37BD4">
        <w:rPr>
          <w:spacing w:val="-2"/>
          <w:w w:val="99"/>
        </w:rPr>
        <w:t>5</w:t>
      </w:r>
      <w:r>
        <w:t xml:space="preserve"> </w:t>
      </w:r>
      <w:r>
        <w:rPr>
          <w:w w:val="99"/>
        </w:rPr>
        <w:t>/</w:t>
      </w:r>
      <w:r>
        <w:rPr>
          <w:spacing w:val="-2"/>
        </w:rPr>
        <w:t xml:space="preserve"> </w:t>
      </w:r>
      <w:proofErr w:type="spellStart"/>
      <w:r>
        <w:rPr>
          <w:w w:val="99"/>
        </w:rPr>
        <w:t>Pr</w:t>
      </w:r>
      <w:r>
        <w:rPr>
          <w:spacing w:val="1"/>
          <w:w w:val="99"/>
        </w:rPr>
        <w:t>ic</w:t>
      </w:r>
      <w:r>
        <w:rPr>
          <w:spacing w:val="2"/>
          <w:w w:val="99"/>
        </w:rPr>
        <w:t>e</w:t>
      </w:r>
      <w:r>
        <w:rPr>
          <w:w w:val="99"/>
        </w:rPr>
        <w:t>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  <w:w w:val="99"/>
        </w:rPr>
        <w:t>a</w:t>
      </w:r>
      <w:r>
        <w:rPr>
          <w:spacing w:val="-2"/>
          <w:w w:val="99"/>
        </w:rPr>
        <w:t>p</w:t>
      </w:r>
      <w:r>
        <w:rPr>
          <w:w w:val="99"/>
        </w:rPr>
        <w:t>p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ie</w:t>
      </w:r>
      <w:r>
        <w:rPr>
          <w:w w:val="99"/>
        </w:rPr>
        <w:t>d</w:t>
      </w:r>
      <w:proofErr w:type="spellEnd"/>
      <w:r>
        <w:t xml:space="preserve"> </w:t>
      </w:r>
      <w:proofErr w:type="spellStart"/>
      <w:r>
        <w:rPr>
          <w:w w:val="99"/>
        </w:rPr>
        <w:t>f</w:t>
      </w:r>
      <w:r>
        <w:rPr>
          <w:spacing w:val="-2"/>
          <w:w w:val="99"/>
        </w:rPr>
        <w:t>r</w:t>
      </w:r>
      <w:r>
        <w:rPr>
          <w:w w:val="99"/>
        </w:rPr>
        <w:t>om</w:t>
      </w:r>
      <w:proofErr w:type="spellEnd"/>
      <w:r>
        <w:rPr>
          <w:spacing w:val="-3"/>
        </w:rPr>
        <w:t xml:space="preserve"> </w:t>
      </w:r>
      <w:r w:rsidR="00E37BD4">
        <w:rPr>
          <w:spacing w:val="-1"/>
          <w:w w:val="99"/>
        </w:rPr>
        <w:t xml:space="preserve">1st </w:t>
      </w:r>
      <w:proofErr w:type="spellStart"/>
      <w:r w:rsidR="00E37BD4">
        <w:rPr>
          <w:spacing w:val="-1"/>
          <w:w w:val="99"/>
        </w:rPr>
        <w:t>April</w:t>
      </w:r>
      <w:proofErr w:type="spellEnd"/>
      <w:r w:rsidR="00E37BD4">
        <w:rPr>
          <w:spacing w:val="-1"/>
          <w:w w:val="99"/>
        </w:rPr>
        <w:t xml:space="preserve"> 2025</w:t>
      </w:r>
      <w:bookmarkStart w:id="0" w:name="_GoBack"/>
      <w:bookmarkEnd w:id="0"/>
      <w:r w:rsidR="00890B28">
        <w:rPr>
          <w:spacing w:val="-2"/>
          <w:w w:val="99"/>
        </w:rPr>
        <w:t>.</w:t>
      </w:r>
    </w:p>
    <w:p w:rsidR="00CB6EB2" w:rsidRDefault="00CB6EB2">
      <w:pPr>
        <w:pStyle w:val="Textoindependiente"/>
        <w:rPr>
          <w:sz w:val="28"/>
        </w:rPr>
      </w:pPr>
    </w:p>
    <w:p w:rsidR="00CB6EB2" w:rsidRDefault="00CB6EB2">
      <w:pPr>
        <w:pStyle w:val="Textoindependiente"/>
        <w:rPr>
          <w:sz w:val="28"/>
        </w:rPr>
      </w:pPr>
    </w:p>
    <w:p w:rsidR="00CB6EB2" w:rsidRDefault="00CB6EB2">
      <w:pPr>
        <w:pStyle w:val="Textoindependiente"/>
        <w:spacing w:before="1"/>
      </w:pPr>
    </w:p>
    <w:p w:rsidR="00CB6EB2" w:rsidRDefault="00A3430F">
      <w:pPr>
        <w:ind w:left="3151" w:right="3154"/>
        <w:jc w:val="center"/>
        <w:rPr>
          <w:sz w:val="20"/>
        </w:rPr>
      </w:pPr>
      <w:r>
        <w:rPr>
          <w:color w:val="9A9A9A"/>
          <w:sz w:val="20"/>
        </w:rPr>
        <w:t>Centro de Astrofísica de La Palma Apartado de correos 50</w:t>
      </w:r>
    </w:p>
    <w:p w:rsidR="00CB6EB2" w:rsidRDefault="00A3430F">
      <w:pPr>
        <w:spacing w:before="1"/>
        <w:ind w:left="3902" w:right="3900" w:hanging="3"/>
        <w:jc w:val="center"/>
        <w:rPr>
          <w:sz w:val="20"/>
        </w:rPr>
      </w:pPr>
      <w:r>
        <w:rPr>
          <w:color w:val="9A9A9A"/>
          <w:sz w:val="20"/>
        </w:rPr>
        <w:t>38712 Breña Baja</w:t>
      </w:r>
      <w:hyperlink r:id="rId6">
        <w:r>
          <w:rPr>
            <w:color w:val="9A9A9A"/>
            <w:sz w:val="20"/>
          </w:rPr>
          <w:t xml:space="preserve"> </w:t>
        </w:r>
        <w:r>
          <w:rPr>
            <w:color w:val="9A9A9A"/>
            <w:w w:val="95"/>
            <w:sz w:val="20"/>
          </w:rPr>
          <w:t>adminorm@iac.es</w:t>
        </w:r>
      </w:hyperlink>
    </w:p>
    <w:sectPr w:rsidR="00CB6EB2">
      <w:type w:val="continuous"/>
      <w:pgSz w:w="11900" w:h="16840"/>
      <w:pgMar w:top="1420" w:right="9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A3520"/>
    <w:multiLevelType w:val="hybridMultilevel"/>
    <w:tmpl w:val="B04CF9BC"/>
    <w:lvl w:ilvl="0" w:tplc="5B1CAF20">
      <w:numFmt w:val="bullet"/>
      <w:lvlText w:val="-"/>
      <w:lvlJc w:val="left"/>
      <w:pPr>
        <w:ind w:left="302" w:hanging="161"/>
      </w:pPr>
      <w:rPr>
        <w:rFonts w:ascii="Trebuchet MS" w:eastAsia="Trebuchet MS" w:hAnsi="Trebuchet MS" w:cs="Trebuchet MS" w:hint="default"/>
        <w:w w:val="99"/>
        <w:sz w:val="24"/>
        <w:szCs w:val="24"/>
        <w:lang w:val="es-ES" w:eastAsia="es-ES" w:bidi="es-ES"/>
      </w:rPr>
    </w:lvl>
    <w:lvl w:ilvl="1" w:tplc="E5661C22">
      <w:numFmt w:val="bullet"/>
      <w:lvlText w:val="•"/>
      <w:lvlJc w:val="left"/>
      <w:pPr>
        <w:ind w:left="1208" w:hanging="161"/>
      </w:pPr>
      <w:rPr>
        <w:rFonts w:hint="default"/>
        <w:lang w:val="es-ES" w:eastAsia="es-ES" w:bidi="es-ES"/>
      </w:rPr>
    </w:lvl>
    <w:lvl w:ilvl="2" w:tplc="C1E2A630">
      <w:numFmt w:val="bullet"/>
      <w:lvlText w:val="•"/>
      <w:lvlJc w:val="left"/>
      <w:pPr>
        <w:ind w:left="2116" w:hanging="161"/>
      </w:pPr>
      <w:rPr>
        <w:rFonts w:hint="default"/>
        <w:lang w:val="es-ES" w:eastAsia="es-ES" w:bidi="es-ES"/>
      </w:rPr>
    </w:lvl>
    <w:lvl w:ilvl="3" w:tplc="12102DCA">
      <w:numFmt w:val="bullet"/>
      <w:lvlText w:val="•"/>
      <w:lvlJc w:val="left"/>
      <w:pPr>
        <w:ind w:left="3024" w:hanging="161"/>
      </w:pPr>
      <w:rPr>
        <w:rFonts w:hint="default"/>
        <w:lang w:val="es-ES" w:eastAsia="es-ES" w:bidi="es-ES"/>
      </w:rPr>
    </w:lvl>
    <w:lvl w:ilvl="4" w:tplc="E598B860">
      <w:numFmt w:val="bullet"/>
      <w:lvlText w:val="•"/>
      <w:lvlJc w:val="left"/>
      <w:pPr>
        <w:ind w:left="3932" w:hanging="161"/>
      </w:pPr>
      <w:rPr>
        <w:rFonts w:hint="default"/>
        <w:lang w:val="es-ES" w:eastAsia="es-ES" w:bidi="es-ES"/>
      </w:rPr>
    </w:lvl>
    <w:lvl w:ilvl="5" w:tplc="C3A29288">
      <w:numFmt w:val="bullet"/>
      <w:lvlText w:val="•"/>
      <w:lvlJc w:val="left"/>
      <w:pPr>
        <w:ind w:left="4840" w:hanging="161"/>
      </w:pPr>
      <w:rPr>
        <w:rFonts w:hint="default"/>
        <w:lang w:val="es-ES" w:eastAsia="es-ES" w:bidi="es-ES"/>
      </w:rPr>
    </w:lvl>
    <w:lvl w:ilvl="6" w:tplc="FB9E5E50">
      <w:numFmt w:val="bullet"/>
      <w:lvlText w:val="•"/>
      <w:lvlJc w:val="left"/>
      <w:pPr>
        <w:ind w:left="5748" w:hanging="161"/>
      </w:pPr>
      <w:rPr>
        <w:rFonts w:hint="default"/>
        <w:lang w:val="es-ES" w:eastAsia="es-ES" w:bidi="es-ES"/>
      </w:rPr>
    </w:lvl>
    <w:lvl w:ilvl="7" w:tplc="A7FAB0A0">
      <w:numFmt w:val="bullet"/>
      <w:lvlText w:val="•"/>
      <w:lvlJc w:val="left"/>
      <w:pPr>
        <w:ind w:left="6656" w:hanging="161"/>
      </w:pPr>
      <w:rPr>
        <w:rFonts w:hint="default"/>
        <w:lang w:val="es-ES" w:eastAsia="es-ES" w:bidi="es-ES"/>
      </w:rPr>
    </w:lvl>
    <w:lvl w:ilvl="8" w:tplc="822AE824">
      <w:numFmt w:val="bullet"/>
      <w:lvlText w:val="•"/>
      <w:lvlJc w:val="left"/>
      <w:pPr>
        <w:ind w:left="7564" w:hanging="16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2"/>
    <w:rsid w:val="007A73D5"/>
    <w:rsid w:val="007D71F9"/>
    <w:rsid w:val="00816E60"/>
    <w:rsid w:val="00890B28"/>
    <w:rsid w:val="00A3430F"/>
    <w:rsid w:val="00CB6EB2"/>
    <w:rsid w:val="00D97AB0"/>
    <w:rsid w:val="00E37BD4"/>
    <w:rsid w:val="00E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5C9A"/>
  <w15:docId w15:val="{393F62A0-30B8-476C-B80C-EC0739A8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02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ailto:adminorm@iac.es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193</Words>
  <Characters>1062</Characters>
  <Application/>
  <DocSecurity>0</DocSecurity>
  <Lines>8</Lines>
  <Paragraphs>2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